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334B" w14:textId="073A9421" w:rsidR="009558B4" w:rsidRDefault="009558B4">
      <w:pPr>
        <w:spacing w:after="0"/>
        <w:ind w:left="-1440" w:right="5"/>
      </w:pPr>
    </w:p>
    <w:p w14:paraId="6D516724" w14:textId="66EEAFE9" w:rsidR="00DB6057" w:rsidRDefault="00DB6057">
      <w:pPr>
        <w:spacing w:after="0"/>
        <w:ind w:left="-1440" w:right="5"/>
      </w:pPr>
    </w:p>
    <w:p w14:paraId="6DDF63C5" w14:textId="7F01D1A0" w:rsidR="00DB6057" w:rsidRDefault="00E57F07">
      <w:pPr>
        <w:spacing w:after="0"/>
        <w:ind w:left="-1440" w:right="5"/>
      </w:pPr>
      <w:r>
        <w:t xml:space="preserve">                             </w:t>
      </w:r>
      <w:bookmarkStart w:id="0" w:name="_GoBack"/>
      <w:bookmarkEnd w:id="0"/>
      <w:r w:rsidR="00DD3F6A">
        <w:t>Self-Assessment</w:t>
      </w:r>
      <w:r w:rsidR="00C107DB">
        <w:t xml:space="preserve"> of Governance Compliance</w:t>
      </w:r>
    </w:p>
    <w:p w14:paraId="54669F73" w14:textId="7FFFF203" w:rsidR="00DB6057" w:rsidRDefault="00DB6057">
      <w:pPr>
        <w:spacing w:after="0"/>
        <w:ind w:left="-1440" w:right="5"/>
      </w:pPr>
    </w:p>
    <w:p w14:paraId="18F46B3B" w14:textId="73C27FEF" w:rsidR="00DB6057" w:rsidRDefault="00DB6057">
      <w:pPr>
        <w:spacing w:after="0"/>
        <w:ind w:left="-1440" w:right="5"/>
      </w:pPr>
    </w:p>
    <w:p w14:paraId="07B2FB4C" w14:textId="77777777" w:rsidR="00DB6057" w:rsidRDefault="00DB6057">
      <w:pPr>
        <w:spacing w:after="0"/>
        <w:ind w:left="-1440" w:right="5"/>
      </w:pPr>
    </w:p>
    <w:tbl>
      <w:tblPr>
        <w:tblStyle w:val="TableGrid"/>
        <w:tblW w:w="13949" w:type="dxa"/>
        <w:tblInd w:w="5" w:type="dxa"/>
        <w:tblCellMar>
          <w:top w:w="168" w:type="dxa"/>
          <w:left w:w="108" w:type="dxa"/>
          <w:bottom w:w="8" w:type="dxa"/>
          <w:right w:w="78" w:type="dxa"/>
        </w:tblCellMar>
        <w:tblLook w:val="04A0" w:firstRow="1" w:lastRow="0" w:firstColumn="1" w:lastColumn="0" w:noHBand="0" w:noVBand="1"/>
      </w:tblPr>
      <w:tblGrid>
        <w:gridCol w:w="8926"/>
        <w:gridCol w:w="5023"/>
      </w:tblGrid>
      <w:tr w:rsidR="009558B4" w14:paraId="3B403AE8" w14:textId="77777777">
        <w:trPr>
          <w:trHeight w:val="2573"/>
        </w:trPr>
        <w:tc>
          <w:tcPr>
            <w:tcW w:w="8926" w:type="dxa"/>
            <w:tcBorders>
              <w:top w:val="single" w:sz="4" w:space="0" w:color="000000"/>
              <w:left w:val="single" w:sz="4" w:space="0" w:color="000000"/>
              <w:bottom w:val="single" w:sz="4" w:space="0" w:color="000000"/>
              <w:right w:val="single" w:sz="4" w:space="0" w:color="000000"/>
            </w:tcBorders>
            <w:vAlign w:val="center"/>
          </w:tcPr>
          <w:p w14:paraId="1E12A91A" w14:textId="77777777" w:rsidR="009558B4" w:rsidRDefault="006B699F">
            <w:pPr>
              <w:spacing w:after="113"/>
            </w:pPr>
            <w:r>
              <w:rPr>
                <w:rFonts w:ascii="Times New Roman" w:eastAsia="Times New Roman" w:hAnsi="Times New Roman" w:cs="Times New Roman"/>
              </w:rPr>
              <w:t xml:space="preserve">Education &amp; Skills Funding Agency (ESFA) funding agreement </w:t>
            </w:r>
          </w:p>
          <w:p w14:paraId="4CEE10A7" w14:textId="77777777" w:rsidR="009558B4" w:rsidRDefault="006B699F">
            <w:pPr>
              <w:spacing w:after="120" w:line="252" w:lineRule="auto"/>
              <w:jc w:val="both"/>
            </w:pPr>
            <w:r>
              <w:rPr>
                <w:rFonts w:ascii="Times New Roman" w:eastAsia="Times New Roman" w:hAnsi="Times New Roman" w:cs="Times New Roman"/>
              </w:rPr>
              <w:t xml:space="preserve">The corporation needs to enter into annual funding agreements in order to receive money from the ESFA. </w:t>
            </w:r>
          </w:p>
          <w:p w14:paraId="6401B813" w14:textId="77777777" w:rsidR="009558B4" w:rsidRDefault="006B699F">
            <w:pPr>
              <w:spacing w:after="118" w:line="252" w:lineRule="auto"/>
            </w:pPr>
            <w:r>
              <w:rPr>
                <w:rFonts w:ascii="Times New Roman" w:eastAsia="Times New Roman" w:hAnsi="Times New Roman" w:cs="Times New Roman"/>
              </w:rPr>
              <w:t xml:space="preserve">Funding agreements set out contractual requirements which the corporation must observe, in areas such as financial health and control, education performance standards, quality assurance, public accountability and the welfare of students. </w:t>
            </w:r>
          </w:p>
          <w:p w14:paraId="30FF8FD6" w14:textId="77777777" w:rsidR="009558B4" w:rsidRDefault="006B699F">
            <w:r>
              <w:rPr>
                <w:rFonts w:ascii="Times New Roman" w:eastAsia="Times New Roman" w:hAnsi="Times New Roman" w:cs="Times New Roman"/>
              </w:rPr>
              <w:t xml:space="preserve">Breaches of an agreement may lead to regulatory intervention or termination of the agreement. </w:t>
            </w:r>
          </w:p>
        </w:tc>
        <w:tc>
          <w:tcPr>
            <w:tcW w:w="5023" w:type="dxa"/>
            <w:tcBorders>
              <w:top w:val="single" w:sz="4" w:space="0" w:color="000000"/>
              <w:left w:val="single" w:sz="4" w:space="0" w:color="000000"/>
              <w:bottom w:val="single" w:sz="4" w:space="0" w:color="000000"/>
              <w:right w:val="single" w:sz="4" w:space="0" w:color="000000"/>
            </w:tcBorders>
          </w:tcPr>
          <w:p w14:paraId="573DE3E6" w14:textId="77777777" w:rsidR="009558B4" w:rsidRDefault="006B699F">
            <w:pPr>
              <w:spacing w:after="120" w:line="252" w:lineRule="auto"/>
            </w:pPr>
            <w:r>
              <w:rPr>
                <w:rFonts w:ascii="Times New Roman" w:eastAsia="Times New Roman" w:hAnsi="Times New Roman" w:cs="Times New Roman"/>
              </w:rPr>
              <w:t xml:space="preserve">The agreement is reviewed by the Vice Principal – Finance and Resources who reports the main terms, together with any year-on-year changes, to the SMT. </w:t>
            </w:r>
          </w:p>
          <w:p w14:paraId="7C5CE29E" w14:textId="77777777" w:rsidR="009558B4" w:rsidRDefault="006B699F">
            <w:pPr>
              <w:spacing w:after="120" w:line="252" w:lineRule="auto"/>
            </w:pPr>
            <w:r>
              <w:rPr>
                <w:rFonts w:ascii="Times New Roman" w:eastAsia="Times New Roman" w:hAnsi="Times New Roman" w:cs="Times New Roman"/>
              </w:rPr>
              <w:t xml:space="preserve">The internal audit service is charged with reviewing governance. </w:t>
            </w:r>
          </w:p>
          <w:p w14:paraId="126EAF1A" w14:textId="77777777" w:rsidR="009558B4" w:rsidRDefault="006B699F">
            <w:r>
              <w:rPr>
                <w:rFonts w:ascii="Times New Roman" w:eastAsia="Times New Roman" w:hAnsi="Times New Roman" w:cs="Times New Roman"/>
              </w:rPr>
              <w:t xml:space="preserve">The College is in early intervention and compliance is discussed regularly at case conferences. </w:t>
            </w:r>
          </w:p>
        </w:tc>
      </w:tr>
      <w:tr w:rsidR="009558B4" w14:paraId="07FE8502" w14:textId="77777777">
        <w:trPr>
          <w:trHeight w:val="3955"/>
        </w:trPr>
        <w:tc>
          <w:tcPr>
            <w:tcW w:w="8926" w:type="dxa"/>
            <w:vMerge w:val="restart"/>
            <w:tcBorders>
              <w:top w:val="single" w:sz="4" w:space="0" w:color="000000"/>
              <w:left w:val="single" w:sz="4" w:space="0" w:color="000000"/>
              <w:bottom w:val="single" w:sz="4" w:space="0" w:color="000000"/>
              <w:right w:val="single" w:sz="4" w:space="0" w:color="000000"/>
            </w:tcBorders>
            <w:vAlign w:val="bottom"/>
          </w:tcPr>
          <w:p w14:paraId="2A20B48B" w14:textId="77777777" w:rsidR="009558B4" w:rsidRDefault="006B699F">
            <w:pPr>
              <w:spacing w:after="113"/>
            </w:pPr>
            <w:r>
              <w:rPr>
                <w:rFonts w:ascii="Times New Roman" w:eastAsia="Times New Roman" w:hAnsi="Times New Roman" w:cs="Times New Roman"/>
              </w:rPr>
              <w:lastRenderedPageBreak/>
              <w:t xml:space="preserve">Serious incidents </w:t>
            </w:r>
          </w:p>
          <w:p w14:paraId="43BAFF4E" w14:textId="77777777" w:rsidR="009558B4" w:rsidRDefault="006B699F">
            <w:pPr>
              <w:spacing w:after="127"/>
            </w:pPr>
            <w:r>
              <w:rPr>
                <w:rFonts w:ascii="Times New Roman" w:eastAsia="Times New Roman" w:hAnsi="Times New Roman" w:cs="Times New Roman"/>
              </w:rPr>
              <w:t xml:space="preserve">The board must ensure that serious incidents are reported promptly to: </w:t>
            </w:r>
          </w:p>
          <w:p w14:paraId="77E11FC2" w14:textId="77777777" w:rsidR="009558B4" w:rsidRDefault="006B699F">
            <w:pPr>
              <w:numPr>
                <w:ilvl w:val="0"/>
                <w:numId w:val="1"/>
              </w:numPr>
              <w:spacing w:after="125"/>
              <w:ind w:hanging="355"/>
            </w:pPr>
            <w:r>
              <w:rPr>
                <w:rFonts w:ascii="Times New Roman" w:eastAsia="Times New Roman" w:hAnsi="Times New Roman" w:cs="Times New Roman"/>
              </w:rPr>
              <w:t xml:space="preserve">the appropriate authority, such as the police or, for safeguarding, the local authority </w:t>
            </w:r>
          </w:p>
          <w:p w14:paraId="128C602C" w14:textId="77777777" w:rsidR="009558B4" w:rsidRDefault="006B699F">
            <w:pPr>
              <w:numPr>
                <w:ilvl w:val="0"/>
                <w:numId w:val="1"/>
              </w:numPr>
              <w:spacing w:after="120" w:line="252" w:lineRule="auto"/>
              <w:ind w:hanging="355"/>
            </w:pPr>
            <w:r>
              <w:rPr>
                <w:rFonts w:ascii="Times New Roman" w:eastAsia="Times New Roman" w:hAnsi="Times New Roman" w:cs="Times New Roman"/>
              </w:rPr>
              <w:t xml:space="preserve">external and internal auditors, audit committee chair and/or ESFA in line with the corporation's funding agreement and the Post-16 audit code of practice  </w:t>
            </w:r>
          </w:p>
          <w:p w14:paraId="2E5233DA" w14:textId="77777777" w:rsidR="009558B4" w:rsidRDefault="006B699F">
            <w:pPr>
              <w:spacing w:after="127"/>
            </w:pPr>
            <w:r>
              <w:rPr>
                <w:rFonts w:ascii="Times New Roman" w:eastAsia="Times New Roman" w:hAnsi="Times New Roman" w:cs="Times New Roman"/>
              </w:rPr>
              <w:t xml:space="preserve">A serious incident is an adverse event, whether actual or alleged, which results in or risks: </w:t>
            </w:r>
          </w:p>
          <w:p w14:paraId="229C110F" w14:textId="77777777" w:rsidR="009558B4" w:rsidRDefault="006B699F">
            <w:pPr>
              <w:numPr>
                <w:ilvl w:val="0"/>
                <w:numId w:val="2"/>
              </w:numPr>
              <w:spacing w:after="127"/>
              <w:ind w:hanging="360"/>
            </w:pPr>
            <w:r>
              <w:rPr>
                <w:rFonts w:ascii="Times New Roman" w:eastAsia="Times New Roman" w:hAnsi="Times New Roman" w:cs="Times New Roman"/>
              </w:rPr>
              <w:t xml:space="preserve">significant loss to the corporation's money or assets </w:t>
            </w:r>
          </w:p>
          <w:p w14:paraId="58471E46" w14:textId="77777777" w:rsidR="009558B4" w:rsidRDefault="006B699F">
            <w:pPr>
              <w:numPr>
                <w:ilvl w:val="0"/>
                <w:numId w:val="2"/>
              </w:numPr>
              <w:spacing w:after="127"/>
              <w:ind w:hanging="360"/>
            </w:pPr>
            <w:r>
              <w:rPr>
                <w:rFonts w:ascii="Times New Roman" w:eastAsia="Times New Roman" w:hAnsi="Times New Roman" w:cs="Times New Roman"/>
              </w:rPr>
              <w:t xml:space="preserve">damage to the corporation's property </w:t>
            </w:r>
          </w:p>
          <w:p w14:paraId="3B615B9E" w14:textId="77777777" w:rsidR="009558B4" w:rsidRDefault="006B699F">
            <w:pPr>
              <w:numPr>
                <w:ilvl w:val="0"/>
                <w:numId w:val="2"/>
              </w:numPr>
              <w:spacing w:after="113"/>
              <w:ind w:hanging="360"/>
            </w:pPr>
            <w:r>
              <w:rPr>
                <w:rFonts w:ascii="Times New Roman" w:eastAsia="Times New Roman" w:hAnsi="Times New Roman" w:cs="Times New Roman"/>
              </w:rPr>
              <w:t xml:space="preserve">harm to the corporation's work, students or reputation </w:t>
            </w:r>
          </w:p>
          <w:p w14:paraId="21047D5D" w14:textId="77777777" w:rsidR="009558B4" w:rsidRDefault="006B699F">
            <w:pPr>
              <w:spacing w:after="120" w:line="252" w:lineRule="auto"/>
              <w:jc w:val="both"/>
            </w:pPr>
            <w:r>
              <w:rPr>
                <w:rFonts w:ascii="Times New Roman" w:eastAsia="Times New Roman" w:hAnsi="Times New Roman" w:cs="Times New Roman"/>
              </w:rPr>
              <w:t xml:space="preserve">Examples of serious incidents include fraud, cybercrime, extremism allegations and safeguarding issues </w:t>
            </w:r>
          </w:p>
          <w:p w14:paraId="444A1EC5" w14:textId="77777777" w:rsidR="009558B4" w:rsidRDefault="006B699F">
            <w:pPr>
              <w:spacing w:after="121" w:line="251" w:lineRule="auto"/>
            </w:pPr>
            <w:r>
              <w:rPr>
                <w:rFonts w:ascii="Times New Roman" w:eastAsia="Times New Roman" w:hAnsi="Times New Roman" w:cs="Times New Roman"/>
              </w:rPr>
              <w:t xml:space="preserve">The board and college staff should not use non-disclosure agreements and confidentiality clauses to prevent an individual from making a disclosure in the public interest the Public Interest Disclosure Act 1998 regarding a serious incident. </w:t>
            </w:r>
          </w:p>
          <w:p w14:paraId="6A8B3811" w14:textId="77777777" w:rsidR="009558B4" w:rsidRDefault="006B699F">
            <w:r>
              <w:rPr>
                <w:rFonts w:ascii="Times New Roman" w:eastAsia="Times New Roman" w:hAnsi="Times New Roman" w:cs="Times New Roman"/>
              </w:rPr>
              <w:t xml:space="preserve"> </w:t>
            </w:r>
          </w:p>
        </w:tc>
        <w:tc>
          <w:tcPr>
            <w:tcW w:w="5023" w:type="dxa"/>
            <w:tcBorders>
              <w:top w:val="single" w:sz="4" w:space="0" w:color="000000"/>
              <w:left w:val="single" w:sz="4" w:space="0" w:color="000000"/>
              <w:bottom w:val="single" w:sz="4" w:space="0" w:color="000000"/>
              <w:right w:val="single" w:sz="4" w:space="0" w:color="000000"/>
            </w:tcBorders>
          </w:tcPr>
          <w:p w14:paraId="79F2CF78" w14:textId="77777777" w:rsidR="009558B4" w:rsidRDefault="006B699F">
            <w:pPr>
              <w:spacing w:after="120" w:line="252" w:lineRule="auto"/>
            </w:pPr>
            <w:r>
              <w:rPr>
                <w:rFonts w:ascii="Times New Roman" w:eastAsia="Times New Roman" w:hAnsi="Times New Roman" w:cs="Times New Roman"/>
              </w:rPr>
              <w:t xml:space="preserve">The College’s policies state the reporting procedures for serious incidents. </w:t>
            </w:r>
          </w:p>
          <w:p w14:paraId="730E32FD" w14:textId="77777777" w:rsidR="009558B4" w:rsidRDefault="006B699F">
            <w:r>
              <w:rPr>
                <w:rFonts w:ascii="Times New Roman" w:eastAsia="Times New Roman" w:hAnsi="Times New Roman" w:cs="Times New Roman"/>
              </w:rPr>
              <w:t xml:space="preserve">General Data Protection Policy </w:t>
            </w:r>
          </w:p>
          <w:p w14:paraId="02C7129E" w14:textId="77777777" w:rsidR="009558B4" w:rsidRDefault="006B699F">
            <w:r>
              <w:rPr>
                <w:rFonts w:ascii="Times New Roman" w:eastAsia="Times New Roman" w:hAnsi="Times New Roman" w:cs="Times New Roman"/>
              </w:rPr>
              <w:t xml:space="preserve">Safeguarding Policy </w:t>
            </w:r>
          </w:p>
          <w:p w14:paraId="2A21F0DF" w14:textId="77777777" w:rsidR="009558B4" w:rsidRDefault="006B699F">
            <w:pPr>
              <w:spacing w:after="113"/>
            </w:pPr>
            <w:r>
              <w:rPr>
                <w:rFonts w:ascii="Times New Roman" w:eastAsia="Times New Roman" w:hAnsi="Times New Roman" w:cs="Times New Roman"/>
              </w:rPr>
              <w:t xml:space="preserve">Fraud Policy </w:t>
            </w:r>
          </w:p>
          <w:p w14:paraId="73225AB3" w14:textId="77777777" w:rsidR="009558B4" w:rsidRDefault="006B699F">
            <w:r>
              <w:rPr>
                <w:rFonts w:ascii="Times New Roman" w:eastAsia="Times New Roman" w:hAnsi="Times New Roman" w:cs="Times New Roman"/>
              </w:rPr>
              <w:t xml:space="preserve"> </w:t>
            </w:r>
          </w:p>
        </w:tc>
      </w:tr>
      <w:tr w:rsidR="009558B4" w14:paraId="47B74AC2" w14:textId="77777777">
        <w:trPr>
          <w:trHeight w:val="1404"/>
        </w:trPr>
        <w:tc>
          <w:tcPr>
            <w:tcW w:w="0" w:type="auto"/>
            <w:vMerge/>
            <w:tcBorders>
              <w:top w:val="nil"/>
              <w:left w:val="single" w:sz="4" w:space="0" w:color="000000"/>
              <w:bottom w:val="single" w:sz="4" w:space="0" w:color="000000"/>
              <w:right w:val="single" w:sz="4" w:space="0" w:color="000000"/>
            </w:tcBorders>
          </w:tcPr>
          <w:p w14:paraId="4A415A7E" w14:textId="77777777" w:rsidR="009558B4" w:rsidRDefault="009558B4"/>
        </w:tc>
        <w:tc>
          <w:tcPr>
            <w:tcW w:w="5023" w:type="dxa"/>
            <w:tcBorders>
              <w:top w:val="single" w:sz="4" w:space="0" w:color="000000"/>
              <w:left w:val="single" w:sz="4" w:space="0" w:color="000000"/>
              <w:bottom w:val="single" w:sz="4" w:space="0" w:color="000000"/>
              <w:right w:val="single" w:sz="4" w:space="0" w:color="000000"/>
            </w:tcBorders>
          </w:tcPr>
          <w:p w14:paraId="48397987" w14:textId="77777777" w:rsidR="009558B4" w:rsidRDefault="006B699F">
            <w:pPr>
              <w:spacing w:after="113"/>
            </w:pPr>
            <w:r>
              <w:rPr>
                <w:rFonts w:ascii="Times New Roman" w:eastAsia="Times New Roman" w:hAnsi="Times New Roman" w:cs="Times New Roman"/>
              </w:rPr>
              <w:t xml:space="preserve">Whistle Blowing Policy </w:t>
            </w:r>
          </w:p>
          <w:p w14:paraId="5FF7FD24" w14:textId="77777777" w:rsidR="009558B4" w:rsidRDefault="006B699F">
            <w:pPr>
              <w:jc w:val="both"/>
            </w:pPr>
            <w:r>
              <w:rPr>
                <w:rFonts w:ascii="Times New Roman" w:eastAsia="Times New Roman" w:hAnsi="Times New Roman" w:cs="Times New Roman"/>
              </w:rPr>
              <w:t xml:space="preserve">Settlement agreement templates expressly exclude whistle-blowing from their provisions </w:t>
            </w:r>
          </w:p>
        </w:tc>
      </w:tr>
    </w:tbl>
    <w:p w14:paraId="5DBBD7E8" w14:textId="77777777" w:rsidR="009558B4" w:rsidRDefault="009558B4">
      <w:pPr>
        <w:spacing w:after="0"/>
        <w:ind w:left="-1440" w:right="5"/>
      </w:pPr>
    </w:p>
    <w:tbl>
      <w:tblPr>
        <w:tblStyle w:val="TableGrid"/>
        <w:tblW w:w="13949" w:type="dxa"/>
        <w:tblInd w:w="5" w:type="dxa"/>
        <w:tblCellMar>
          <w:top w:w="168" w:type="dxa"/>
          <w:left w:w="108" w:type="dxa"/>
          <w:bottom w:w="6" w:type="dxa"/>
          <w:right w:w="115" w:type="dxa"/>
        </w:tblCellMar>
        <w:tblLook w:val="04A0" w:firstRow="1" w:lastRow="0" w:firstColumn="1" w:lastColumn="0" w:noHBand="0" w:noVBand="1"/>
      </w:tblPr>
      <w:tblGrid>
        <w:gridCol w:w="8926"/>
        <w:gridCol w:w="5023"/>
      </w:tblGrid>
      <w:tr w:rsidR="009558B4" w14:paraId="25BA8F95" w14:textId="77777777">
        <w:trPr>
          <w:trHeight w:val="2515"/>
        </w:trPr>
        <w:tc>
          <w:tcPr>
            <w:tcW w:w="8926" w:type="dxa"/>
            <w:vMerge w:val="restart"/>
            <w:tcBorders>
              <w:top w:val="single" w:sz="4" w:space="0" w:color="000000"/>
              <w:left w:val="single" w:sz="4" w:space="0" w:color="000000"/>
              <w:bottom w:val="single" w:sz="4" w:space="0" w:color="000000"/>
              <w:right w:val="single" w:sz="4" w:space="0" w:color="000000"/>
            </w:tcBorders>
            <w:vAlign w:val="bottom"/>
          </w:tcPr>
          <w:p w14:paraId="0A56BA8C" w14:textId="77777777" w:rsidR="009558B4" w:rsidRDefault="006B699F">
            <w:pPr>
              <w:spacing w:after="113"/>
            </w:pPr>
            <w:r>
              <w:rPr>
                <w:rFonts w:ascii="Times New Roman" w:eastAsia="Times New Roman" w:hAnsi="Times New Roman" w:cs="Times New Roman"/>
              </w:rPr>
              <w:t xml:space="preserve">Fraud </w:t>
            </w:r>
          </w:p>
          <w:p w14:paraId="3C3F497A" w14:textId="77777777" w:rsidR="009558B4" w:rsidRDefault="006B699F">
            <w:pPr>
              <w:spacing w:after="127"/>
            </w:pPr>
            <w:r>
              <w:rPr>
                <w:rFonts w:ascii="Times New Roman" w:eastAsia="Times New Roman" w:hAnsi="Times New Roman" w:cs="Times New Roman"/>
              </w:rPr>
              <w:t xml:space="preserve">The board must safeguard the corporation's money and assets. The board must ensure that: </w:t>
            </w:r>
          </w:p>
          <w:p w14:paraId="62F2A522" w14:textId="77777777" w:rsidR="009558B4" w:rsidRDefault="006B699F">
            <w:pPr>
              <w:numPr>
                <w:ilvl w:val="0"/>
                <w:numId w:val="3"/>
              </w:numPr>
              <w:spacing w:after="127"/>
              <w:ind w:hanging="355"/>
            </w:pPr>
            <w:r>
              <w:rPr>
                <w:rFonts w:ascii="Times New Roman" w:eastAsia="Times New Roman" w:hAnsi="Times New Roman" w:cs="Times New Roman"/>
              </w:rPr>
              <w:t xml:space="preserve">a whistleblowing policy is in place </w:t>
            </w:r>
          </w:p>
          <w:p w14:paraId="11B60510" w14:textId="77777777" w:rsidR="009558B4" w:rsidRDefault="006B699F">
            <w:pPr>
              <w:numPr>
                <w:ilvl w:val="0"/>
                <w:numId w:val="3"/>
              </w:numPr>
              <w:spacing w:after="127"/>
              <w:ind w:hanging="355"/>
            </w:pPr>
            <w:r>
              <w:rPr>
                <w:rFonts w:ascii="Times New Roman" w:eastAsia="Times New Roman" w:hAnsi="Times New Roman" w:cs="Times New Roman"/>
              </w:rPr>
              <w:t xml:space="preserve">there are procedures to follow if fraud is detected </w:t>
            </w:r>
          </w:p>
          <w:p w14:paraId="0EECE605" w14:textId="77777777" w:rsidR="009558B4" w:rsidRDefault="006B699F">
            <w:pPr>
              <w:numPr>
                <w:ilvl w:val="0"/>
                <w:numId w:val="3"/>
              </w:numPr>
              <w:spacing w:after="118" w:line="252" w:lineRule="auto"/>
              <w:ind w:hanging="355"/>
            </w:pPr>
            <w:r>
              <w:rPr>
                <w:rFonts w:ascii="Times New Roman" w:eastAsia="Times New Roman" w:hAnsi="Times New Roman" w:cs="Times New Roman"/>
              </w:rPr>
              <w:t xml:space="preserve">significant fraud is reported to ESFA, the chair of the audit committee and external and internal auditors </w:t>
            </w:r>
          </w:p>
          <w:p w14:paraId="314111ED" w14:textId="77777777" w:rsidR="009558B4" w:rsidRDefault="006B699F">
            <w:pPr>
              <w:spacing w:after="127"/>
            </w:pPr>
            <w:r>
              <w:rPr>
                <w:rFonts w:ascii="Times New Roman" w:eastAsia="Times New Roman" w:hAnsi="Times New Roman" w:cs="Times New Roman"/>
              </w:rPr>
              <w:t xml:space="preserve">The board should ensure that: </w:t>
            </w:r>
          </w:p>
          <w:p w14:paraId="28598F36" w14:textId="77777777" w:rsidR="009558B4" w:rsidRDefault="006B699F">
            <w:pPr>
              <w:numPr>
                <w:ilvl w:val="0"/>
                <w:numId w:val="3"/>
              </w:numPr>
              <w:spacing w:after="127"/>
              <w:ind w:hanging="355"/>
            </w:pPr>
            <w:r>
              <w:rPr>
                <w:rFonts w:ascii="Times New Roman" w:eastAsia="Times New Roman" w:hAnsi="Times New Roman" w:cs="Times New Roman"/>
              </w:rPr>
              <w:t xml:space="preserve">a counter fraud strategy and fraud response plan are in place </w:t>
            </w:r>
          </w:p>
          <w:p w14:paraId="0ED7C37E" w14:textId="77777777" w:rsidR="009558B4" w:rsidRDefault="006B699F">
            <w:pPr>
              <w:numPr>
                <w:ilvl w:val="0"/>
                <w:numId w:val="3"/>
              </w:numPr>
              <w:spacing w:after="127"/>
              <w:ind w:hanging="355"/>
            </w:pPr>
            <w:r>
              <w:rPr>
                <w:rFonts w:ascii="Times New Roman" w:eastAsia="Times New Roman" w:hAnsi="Times New Roman" w:cs="Times New Roman"/>
              </w:rPr>
              <w:t xml:space="preserve">an annual fraud risk review is part of its risk management strategy </w:t>
            </w:r>
          </w:p>
          <w:p w14:paraId="06736715" w14:textId="77777777" w:rsidR="009558B4" w:rsidRDefault="006B699F">
            <w:pPr>
              <w:numPr>
                <w:ilvl w:val="0"/>
                <w:numId w:val="3"/>
              </w:numPr>
              <w:spacing w:after="135" w:line="252" w:lineRule="auto"/>
              <w:ind w:hanging="355"/>
            </w:pPr>
            <w:r>
              <w:rPr>
                <w:rFonts w:ascii="Times New Roman" w:eastAsia="Times New Roman" w:hAnsi="Times New Roman" w:cs="Times New Roman"/>
              </w:rPr>
              <w:t xml:space="preserve">appropriate counter fraud measures are in place, such as strong financial controls and pre-employment screening of staff </w:t>
            </w:r>
          </w:p>
          <w:p w14:paraId="14464DD9" w14:textId="77777777" w:rsidR="009558B4" w:rsidRDefault="006B699F">
            <w:pPr>
              <w:numPr>
                <w:ilvl w:val="0"/>
                <w:numId w:val="3"/>
              </w:numPr>
              <w:spacing w:after="113"/>
              <w:ind w:hanging="355"/>
            </w:pPr>
            <w:r>
              <w:rPr>
                <w:rFonts w:ascii="Times New Roman" w:eastAsia="Times New Roman" w:hAnsi="Times New Roman" w:cs="Times New Roman"/>
              </w:rPr>
              <w:t xml:space="preserve">there is fraud awareness training for staff </w:t>
            </w:r>
          </w:p>
          <w:p w14:paraId="682540AA" w14:textId="77777777" w:rsidR="009558B4" w:rsidRDefault="006B699F">
            <w:r>
              <w:rPr>
                <w:rFonts w:ascii="Times New Roman" w:eastAsia="Times New Roman" w:hAnsi="Times New Roman" w:cs="Times New Roman"/>
              </w:rPr>
              <w:t xml:space="preserve">All attempted or actual fraud should be reported to Action Fraud. </w:t>
            </w:r>
          </w:p>
        </w:tc>
        <w:tc>
          <w:tcPr>
            <w:tcW w:w="5023" w:type="dxa"/>
            <w:tcBorders>
              <w:top w:val="single" w:sz="4" w:space="0" w:color="000000"/>
              <w:left w:val="single" w:sz="4" w:space="0" w:color="000000"/>
              <w:bottom w:val="single" w:sz="4" w:space="0" w:color="000000"/>
              <w:right w:val="single" w:sz="4" w:space="0" w:color="000000"/>
            </w:tcBorders>
          </w:tcPr>
          <w:p w14:paraId="782EBADB" w14:textId="77777777" w:rsidR="009558B4" w:rsidRDefault="006B699F">
            <w:r>
              <w:rPr>
                <w:rFonts w:ascii="Times New Roman" w:eastAsia="Times New Roman" w:hAnsi="Times New Roman" w:cs="Times New Roman"/>
              </w:rPr>
              <w:t xml:space="preserve">Fraud Policy </w:t>
            </w:r>
          </w:p>
          <w:p w14:paraId="33C3627D" w14:textId="77777777" w:rsidR="009558B4" w:rsidRDefault="006B699F">
            <w:pPr>
              <w:spacing w:after="113"/>
            </w:pPr>
            <w:r>
              <w:rPr>
                <w:rFonts w:ascii="Times New Roman" w:eastAsia="Times New Roman" w:hAnsi="Times New Roman" w:cs="Times New Roman"/>
              </w:rPr>
              <w:t xml:space="preserve">Whistle Blowing Policy </w:t>
            </w:r>
          </w:p>
          <w:p w14:paraId="69A623DC" w14:textId="77777777" w:rsidR="009558B4" w:rsidRDefault="006B699F">
            <w:r>
              <w:rPr>
                <w:rFonts w:ascii="Times New Roman" w:eastAsia="Times New Roman" w:hAnsi="Times New Roman" w:cs="Times New Roman"/>
              </w:rPr>
              <w:t xml:space="preserve"> </w:t>
            </w:r>
          </w:p>
        </w:tc>
      </w:tr>
      <w:tr w:rsidR="009558B4" w14:paraId="5683C1DC" w14:textId="77777777">
        <w:trPr>
          <w:trHeight w:val="2306"/>
        </w:trPr>
        <w:tc>
          <w:tcPr>
            <w:tcW w:w="0" w:type="auto"/>
            <w:vMerge/>
            <w:tcBorders>
              <w:top w:val="nil"/>
              <w:left w:val="single" w:sz="4" w:space="0" w:color="000000"/>
              <w:bottom w:val="single" w:sz="4" w:space="0" w:color="000000"/>
              <w:right w:val="single" w:sz="4" w:space="0" w:color="000000"/>
            </w:tcBorders>
          </w:tcPr>
          <w:p w14:paraId="012306BF" w14:textId="77777777" w:rsidR="009558B4" w:rsidRDefault="009558B4"/>
        </w:tc>
        <w:tc>
          <w:tcPr>
            <w:tcW w:w="5023" w:type="dxa"/>
            <w:tcBorders>
              <w:top w:val="single" w:sz="4" w:space="0" w:color="000000"/>
              <w:left w:val="single" w:sz="4" w:space="0" w:color="000000"/>
              <w:bottom w:val="single" w:sz="4" w:space="0" w:color="000000"/>
              <w:right w:val="single" w:sz="4" w:space="0" w:color="000000"/>
            </w:tcBorders>
          </w:tcPr>
          <w:p w14:paraId="37C68908" w14:textId="77777777" w:rsidR="009558B4" w:rsidRDefault="006B699F">
            <w:r>
              <w:rPr>
                <w:rFonts w:ascii="Times New Roman" w:eastAsia="Times New Roman" w:hAnsi="Times New Roman" w:cs="Times New Roman"/>
              </w:rPr>
              <w:t xml:space="preserve">The Vice Principal – Finance and Resources has undertaken fraud training </w:t>
            </w:r>
          </w:p>
        </w:tc>
      </w:tr>
      <w:tr w:rsidR="009558B4" w14:paraId="7E20EA3A" w14:textId="77777777">
        <w:trPr>
          <w:trHeight w:val="3638"/>
        </w:trPr>
        <w:tc>
          <w:tcPr>
            <w:tcW w:w="8926" w:type="dxa"/>
            <w:tcBorders>
              <w:top w:val="single" w:sz="4" w:space="0" w:color="000000"/>
              <w:left w:val="single" w:sz="4" w:space="0" w:color="000000"/>
              <w:bottom w:val="single" w:sz="4" w:space="0" w:color="000000"/>
              <w:right w:val="single" w:sz="4" w:space="0" w:color="000000"/>
            </w:tcBorders>
            <w:vAlign w:val="center"/>
          </w:tcPr>
          <w:p w14:paraId="17B104F1" w14:textId="77777777" w:rsidR="009558B4" w:rsidRDefault="006B699F">
            <w:pPr>
              <w:spacing w:after="113"/>
            </w:pPr>
            <w:r>
              <w:rPr>
                <w:rFonts w:ascii="Times New Roman" w:eastAsia="Times New Roman" w:hAnsi="Times New Roman" w:cs="Times New Roman"/>
              </w:rPr>
              <w:t xml:space="preserve">Political activities </w:t>
            </w:r>
          </w:p>
          <w:p w14:paraId="7D175A3A" w14:textId="77777777" w:rsidR="009558B4" w:rsidRDefault="006B699F">
            <w:pPr>
              <w:spacing w:after="135" w:line="252" w:lineRule="auto"/>
            </w:pPr>
            <w:r>
              <w:rPr>
                <w:rFonts w:ascii="Times New Roman" w:eastAsia="Times New Roman" w:hAnsi="Times New Roman" w:cs="Times New Roman"/>
              </w:rPr>
              <w:t xml:space="preserve">There are restrictions on the use of the corporation's funds for political activities.  Under the corporation's funding agreement: </w:t>
            </w:r>
          </w:p>
          <w:p w14:paraId="03ED6A9F" w14:textId="77777777" w:rsidR="009558B4" w:rsidRDefault="006B699F">
            <w:pPr>
              <w:numPr>
                <w:ilvl w:val="0"/>
                <w:numId w:val="4"/>
              </w:numPr>
              <w:ind w:hanging="355"/>
            </w:pPr>
            <w:r>
              <w:rPr>
                <w:rFonts w:ascii="Times New Roman" w:eastAsia="Times New Roman" w:hAnsi="Times New Roman" w:cs="Times New Roman"/>
              </w:rPr>
              <w:t xml:space="preserve">the corporation must not use government funding to influence Parliament, government </w:t>
            </w:r>
          </w:p>
          <w:p w14:paraId="461FF981" w14:textId="77777777" w:rsidR="009558B4" w:rsidRDefault="006B699F">
            <w:pPr>
              <w:spacing w:after="125"/>
              <w:ind w:left="713"/>
            </w:pPr>
            <w:r>
              <w:rPr>
                <w:rFonts w:ascii="Times New Roman" w:eastAsia="Times New Roman" w:hAnsi="Times New Roman" w:cs="Times New Roman"/>
              </w:rPr>
              <w:t xml:space="preserve">or political parties </w:t>
            </w:r>
          </w:p>
          <w:p w14:paraId="53B395FD" w14:textId="77777777" w:rsidR="009558B4" w:rsidRDefault="006B699F">
            <w:pPr>
              <w:numPr>
                <w:ilvl w:val="0"/>
                <w:numId w:val="4"/>
              </w:numPr>
              <w:spacing w:after="120" w:line="252" w:lineRule="auto"/>
              <w:ind w:hanging="355"/>
            </w:pPr>
            <w:r>
              <w:rPr>
                <w:rFonts w:ascii="Times New Roman" w:eastAsia="Times New Roman" w:hAnsi="Times New Roman" w:cs="Times New Roman"/>
              </w:rPr>
              <w:t xml:space="preserve">the funding must only be used for the purpose of delivering the services agreed or for meeting any other requirement in the funding agreement </w:t>
            </w:r>
          </w:p>
          <w:p w14:paraId="2B8DF9BB" w14:textId="77777777" w:rsidR="009558B4" w:rsidRDefault="006B699F">
            <w:pPr>
              <w:spacing w:after="113"/>
            </w:pPr>
            <w:r>
              <w:rPr>
                <w:rFonts w:ascii="Times New Roman" w:eastAsia="Times New Roman" w:hAnsi="Times New Roman" w:cs="Times New Roman"/>
              </w:rPr>
              <w:t xml:space="preserve">It's acceptable to use government funding to pay membership fees to college associations. </w:t>
            </w:r>
          </w:p>
          <w:p w14:paraId="00B24737" w14:textId="77777777" w:rsidR="009558B4" w:rsidRDefault="006B699F">
            <w:r>
              <w:rPr>
                <w:rFonts w:ascii="Times New Roman" w:eastAsia="Times New Roman" w:hAnsi="Times New Roman" w:cs="Times New Roman"/>
              </w:rPr>
              <w:t xml:space="preserve">In addition, charity law says that the corporation may only undertake political activities, within certain limits, in support of its charitable purpose. </w:t>
            </w:r>
          </w:p>
        </w:tc>
        <w:tc>
          <w:tcPr>
            <w:tcW w:w="5023" w:type="dxa"/>
            <w:tcBorders>
              <w:top w:val="single" w:sz="4" w:space="0" w:color="000000"/>
              <w:left w:val="single" w:sz="4" w:space="0" w:color="000000"/>
              <w:bottom w:val="single" w:sz="4" w:space="0" w:color="000000"/>
              <w:right w:val="single" w:sz="4" w:space="0" w:color="000000"/>
            </w:tcBorders>
          </w:tcPr>
          <w:p w14:paraId="5262B902" w14:textId="77777777" w:rsidR="009558B4" w:rsidRDefault="006B699F">
            <w:pPr>
              <w:spacing w:after="113"/>
            </w:pPr>
            <w:r>
              <w:rPr>
                <w:rFonts w:ascii="Times New Roman" w:eastAsia="Times New Roman" w:hAnsi="Times New Roman" w:cs="Times New Roman"/>
              </w:rPr>
              <w:t xml:space="preserve">Financial Regulations </w:t>
            </w:r>
          </w:p>
          <w:p w14:paraId="30606C21" w14:textId="77777777" w:rsidR="009558B4" w:rsidRDefault="006B699F">
            <w:r>
              <w:rPr>
                <w:rFonts w:ascii="Times New Roman" w:eastAsia="Times New Roman" w:hAnsi="Times New Roman" w:cs="Times New Roman"/>
              </w:rPr>
              <w:t xml:space="preserve">There are no such payments </w:t>
            </w:r>
          </w:p>
        </w:tc>
      </w:tr>
    </w:tbl>
    <w:p w14:paraId="4FC6B4C5" w14:textId="77777777" w:rsidR="009558B4" w:rsidRDefault="009558B4">
      <w:pPr>
        <w:spacing w:after="0"/>
        <w:ind w:left="-1440" w:right="5"/>
      </w:pPr>
    </w:p>
    <w:tbl>
      <w:tblPr>
        <w:tblStyle w:val="TableGrid"/>
        <w:tblW w:w="13949" w:type="dxa"/>
        <w:tblInd w:w="5" w:type="dxa"/>
        <w:tblCellMar>
          <w:top w:w="168" w:type="dxa"/>
          <w:left w:w="108" w:type="dxa"/>
          <w:bottom w:w="6" w:type="dxa"/>
          <w:right w:w="103" w:type="dxa"/>
        </w:tblCellMar>
        <w:tblLook w:val="04A0" w:firstRow="1" w:lastRow="0" w:firstColumn="1" w:lastColumn="0" w:noHBand="0" w:noVBand="1"/>
      </w:tblPr>
      <w:tblGrid>
        <w:gridCol w:w="8926"/>
        <w:gridCol w:w="5023"/>
      </w:tblGrid>
      <w:tr w:rsidR="009558B4" w14:paraId="06CA9902" w14:textId="77777777">
        <w:trPr>
          <w:trHeight w:val="3221"/>
        </w:trPr>
        <w:tc>
          <w:tcPr>
            <w:tcW w:w="8926" w:type="dxa"/>
            <w:vMerge w:val="restart"/>
            <w:tcBorders>
              <w:top w:val="single" w:sz="4" w:space="0" w:color="000000"/>
              <w:left w:val="single" w:sz="4" w:space="0" w:color="000000"/>
              <w:bottom w:val="single" w:sz="4" w:space="0" w:color="000000"/>
              <w:right w:val="single" w:sz="4" w:space="0" w:color="000000"/>
            </w:tcBorders>
            <w:vAlign w:val="bottom"/>
          </w:tcPr>
          <w:p w14:paraId="1511D398" w14:textId="77777777" w:rsidR="009558B4" w:rsidRDefault="006B699F">
            <w:pPr>
              <w:spacing w:after="113"/>
            </w:pPr>
            <w:r>
              <w:rPr>
                <w:rFonts w:ascii="Times New Roman" w:eastAsia="Times New Roman" w:hAnsi="Times New Roman" w:cs="Times New Roman"/>
              </w:rPr>
              <w:t xml:space="preserve">Safeguarding </w:t>
            </w:r>
          </w:p>
          <w:p w14:paraId="67EF2284" w14:textId="77777777" w:rsidR="009558B4" w:rsidRDefault="006B699F">
            <w:pPr>
              <w:spacing w:after="127"/>
            </w:pPr>
            <w:r>
              <w:rPr>
                <w:rFonts w:ascii="Times New Roman" w:eastAsia="Times New Roman" w:hAnsi="Times New Roman" w:cs="Times New Roman"/>
              </w:rPr>
              <w:t xml:space="preserve">The board must: </w:t>
            </w:r>
          </w:p>
          <w:p w14:paraId="5C0C19E9" w14:textId="77777777" w:rsidR="009558B4" w:rsidRDefault="006B699F">
            <w:pPr>
              <w:numPr>
                <w:ilvl w:val="0"/>
                <w:numId w:val="5"/>
              </w:numPr>
              <w:spacing w:after="15" w:line="252" w:lineRule="auto"/>
              <w:ind w:hanging="360"/>
            </w:pPr>
            <w:r>
              <w:rPr>
                <w:rFonts w:ascii="Times New Roman" w:eastAsia="Times New Roman" w:hAnsi="Times New Roman" w:cs="Times New Roman"/>
              </w:rPr>
              <w:t xml:space="preserve">make arrangements to safeguard and promote the welfare of students under 18 and high needs students </w:t>
            </w:r>
          </w:p>
          <w:p w14:paraId="574AF86E" w14:textId="77777777" w:rsidR="009558B4" w:rsidRDefault="006B699F">
            <w:pPr>
              <w:numPr>
                <w:ilvl w:val="0"/>
                <w:numId w:val="5"/>
              </w:numPr>
              <w:spacing w:after="12" w:line="252" w:lineRule="auto"/>
              <w:ind w:hanging="360"/>
            </w:pPr>
            <w:r>
              <w:rPr>
                <w:rFonts w:ascii="Times New Roman" w:eastAsia="Times New Roman" w:hAnsi="Times New Roman" w:cs="Times New Roman"/>
              </w:rPr>
              <w:t xml:space="preserve">have regard to all the requirements of the statutory safeguarding guidance 'Keeping children safe in education </w:t>
            </w:r>
          </w:p>
          <w:p w14:paraId="7229664E" w14:textId="77777777" w:rsidR="009558B4" w:rsidRDefault="006B699F">
            <w:pPr>
              <w:numPr>
                <w:ilvl w:val="0"/>
                <w:numId w:val="5"/>
              </w:numPr>
              <w:spacing w:after="15" w:line="252" w:lineRule="auto"/>
              <w:ind w:hanging="360"/>
            </w:pPr>
            <w:r>
              <w:rPr>
                <w:rFonts w:ascii="Times New Roman" w:eastAsia="Times New Roman" w:hAnsi="Times New Roman" w:cs="Times New Roman"/>
              </w:rPr>
              <w:t xml:space="preserve">ensure that anyone working at the college who has harmed, or poses a risk of harm, to a student under 18 is referred to the DBS </w:t>
            </w:r>
          </w:p>
          <w:p w14:paraId="3946B014" w14:textId="77777777" w:rsidR="009558B4" w:rsidRDefault="006B699F">
            <w:pPr>
              <w:numPr>
                <w:ilvl w:val="0"/>
                <w:numId w:val="5"/>
              </w:numPr>
              <w:spacing w:after="7"/>
              <w:ind w:hanging="360"/>
            </w:pPr>
            <w:r>
              <w:rPr>
                <w:rFonts w:ascii="Times New Roman" w:eastAsia="Times New Roman" w:hAnsi="Times New Roman" w:cs="Times New Roman"/>
              </w:rPr>
              <w:t xml:space="preserve">ensure that pre-appointment checks are carried out for new staff </w:t>
            </w:r>
          </w:p>
          <w:p w14:paraId="67DDBEEA" w14:textId="77777777" w:rsidR="009558B4" w:rsidRDefault="006B699F">
            <w:pPr>
              <w:numPr>
                <w:ilvl w:val="0"/>
                <w:numId w:val="5"/>
              </w:numPr>
              <w:spacing w:after="14" w:line="365" w:lineRule="auto"/>
              <w:ind w:hanging="360"/>
            </w:pPr>
            <w:r>
              <w:rPr>
                <w:rFonts w:ascii="Times New Roman" w:eastAsia="Times New Roman" w:hAnsi="Times New Roman" w:cs="Times New Roman"/>
              </w:rPr>
              <w:t xml:space="preserve">ensure that it meets national minimum standards The board should ensure in particular that: </w:t>
            </w:r>
          </w:p>
          <w:p w14:paraId="40F1F412" w14:textId="77777777" w:rsidR="009558B4" w:rsidRDefault="006B699F">
            <w:pPr>
              <w:numPr>
                <w:ilvl w:val="0"/>
                <w:numId w:val="5"/>
              </w:numPr>
              <w:spacing w:after="7"/>
              <w:ind w:hanging="360"/>
            </w:pPr>
            <w:r>
              <w:rPr>
                <w:rFonts w:ascii="Times New Roman" w:eastAsia="Times New Roman" w:hAnsi="Times New Roman" w:cs="Times New Roman"/>
              </w:rPr>
              <w:t xml:space="preserve">a governor has leadership responsibility for safeguarding arrangements </w:t>
            </w:r>
          </w:p>
          <w:p w14:paraId="1D2D20F2" w14:textId="77777777" w:rsidR="009558B4" w:rsidRDefault="006B699F">
            <w:pPr>
              <w:numPr>
                <w:ilvl w:val="0"/>
                <w:numId w:val="5"/>
              </w:numPr>
              <w:spacing w:after="15" w:line="252" w:lineRule="auto"/>
              <w:ind w:hanging="360"/>
            </w:pPr>
            <w:r>
              <w:rPr>
                <w:rFonts w:ascii="Times New Roman" w:eastAsia="Times New Roman" w:hAnsi="Times New Roman" w:cs="Times New Roman"/>
              </w:rPr>
              <w:t xml:space="preserve">there is a designated safeguarding lead in the senior executive team, who takes day-today responsibility for safeguarding </w:t>
            </w:r>
          </w:p>
          <w:p w14:paraId="6755A58D" w14:textId="77777777" w:rsidR="009558B4" w:rsidRDefault="006B699F">
            <w:pPr>
              <w:numPr>
                <w:ilvl w:val="0"/>
                <w:numId w:val="5"/>
              </w:numPr>
              <w:spacing w:after="12" w:line="252" w:lineRule="auto"/>
              <w:ind w:hanging="360"/>
            </w:pPr>
            <w:r>
              <w:rPr>
                <w:rFonts w:ascii="Times New Roman" w:eastAsia="Times New Roman" w:hAnsi="Times New Roman" w:cs="Times New Roman"/>
              </w:rPr>
              <w:t xml:space="preserve">there are systems to support safeguarding, including an effective child protection policy and procedures for raising concerns about staff </w:t>
            </w:r>
          </w:p>
          <w:p w14:paraId="5BBCF08E" w14:textId="77777777" w:rsidR="009558B4" w:rsidRDefault="006B699F">
            <w:pPr>
              <w:numPr>
                <w:ilvl w:val="0"/>
                <w:numId w:val="5"/>
              </w:numPr>
              <w:spacing w:after="15" w:line="252" w:lineRule="auto"/>
              <w:ind w:hanging="360"/>
            </w:pPr>
            <w:r>
              <w:rPr>
                <w:rFonts w:ascii="Times New Roman" w:eastAsia="Times New Roman" w:hAnsi="Times New Roman" w:cs="Times New Roman"/>
              </w:rPr>
              <w:t xml:space="preserve">anyone working at the college who has harmed, or poses a risk of harm, to a high needs student aged 18 to 25 is referred to the DBS </w:t>
            </w:r>
          </w:p>
          <w:p w14:paraId="7A656BB9" w14:textId="77777777" w:rsidR="009558B4" w:rsidRDefault="006B699F">
            <w:pPr>
              <w:numPr>
                <w:ilvl w:val="0"/>
                <w:numId w:val="5"/>
              </w:numPr>
              <w:spacing w:after="115"/>
              <w:ind w:hanging="360"/>
            </w:pPr>
            <w:r>
              <w:rPr>
                <w:rFonts w:ascii="Times New Roman" w:eastAsia="Times New Roman" w:hAnsi="Times New Roman" w:cs="Times New Roman"/>
              </w:rPr>
              <w:t xml:space="preserve">staff: </w:t>
            </w:r>
          </w:p>
          <w:p w14:paraId="1FE286E1" w14:textId="77777777" w:rsidR="009558B4" w:rsidRDefault="006B699F">
            <w:pPr>
              <w:numPr>
                <w:ilvl w:val="1"/>
                <w:numId w:val="5"/>
              </w:numPr>
              <w:ind w:hanging="358"/>
            </w:pPr>
            <w:r>
              <w:rPr>
                <w:rFonts w:ascii="Times New Roman" w:eastAsia="Times New Roman" w:hAnsi="Times New Roman" w:cs="Times New Roman"/>
              </w:rPr>
              <w:t xml:space="preserve">read Part 1 of 'Keeping children safe in education’ </w:t>
            </w:r>
          </w:p>
          <w:p w14:paraId="505D2427" w14:textId="77777777" w:rsidR="009558B4" w:rsidRDefault="006B699F">
            <w:pPr>
              <w:numPr>
                <w:ilvl w:val="1"/>
                <w:numId w:val="5"/>
              </w:numPr>
              <w:ind w:hanging="358"/>
            </w:pPr>
            <w:r>
              <w:rPr>
                <w:rFonts w:ascii="Times New Roman" w:eastAsia="Times New Roman" w:hAnsi="Times New Roman" w:cs="Times New Roman"/>
              </w:rPr>
              <w:t xml:space="preserve">receive appropriate safeguarding and child protection training at induction plus regular updates </w:t>
            </w:r>
          </w:p>
          <w:p w14:paraId="2040D1C6" w14:textId="77777777" w:rsidR="009558B4" w:rsidRDefault="006B699F">
            <w:pPr>
              <w:numPr>
                <w:ilvl w:val="1"/>
                <w:numId w:val="5"/>
              </w:numPr>
              <w:ind w:hanging="358"/>
            </w:pPr>
            <w:r>
              <w:rPr>
                <w:rFonts w:ascii="Times New Roman" w:eastAsia="Times New Roman" w:hAnsi="Times New Roman" w:cs="Times New Roman"/>
              </w:rPr>
              <w:t xml:space="preserve">know what to do if they have concerns about a child </w:t>
            </w:r>
          </w:p>
          <w:p w14:paraId="71BC5817" w14:textId="77777777" w:rsidR="009558B4" w:rsidRDefault="006B699F">
            <w:pPr>
              <w:numPr>
                <w:ilvl w:val="1"/>
                <w:numId w:val="5"/>
              </w:numPr>
              <w:ind w:hanging="358"/>
            </w:pPr>
            <w:r>
              <w:rPr>
                <w:rFonts w:ascii="Times New Roman" w:eastAsia="Times New Roman" w:hAnsi="Times New Roman" w:cs="Times New Roman"/>
              </w:rPr>
              <w:t xml:space="preserve">understand that concerns about sharing information should not stand in the way of keeping children safe </w:t>
            </w:r>
          </w:p>
        </w:tc>
        <w:tc>
          <w:tcPr>
            <w:tcW w:w="5023" w:type="dxa"/>
            <w:tcBorders>
              <w:top w:val="single" w:sz="4" w:space="0" w:color="000000"/>
              <w:left w:val="single" w:sz="4" w:space="0" w:color="000000"/>
              <w:bottom w:val="single" w:sz="4" w:space="0" w:color="000000"/>
              <w:right w:val="single" w:sz="4" w:space="0" w:color="000000"/>
            </w:tcBorders>
          </w:tcPr>
          <w:p w14:paraId="618C6F47" w14:textId="77777777" w:rsidR="009558B4" w:rsidRDefault="006B699F">
            <w:pPr>
              <w:spacing w:after="120" w:line="252" w:lineRule="auto"/>
            </w:pPr>
            <w:r>
              <w:rPr>
                <w:rFonts w:ascii="Times New Roman" w:eastAsia="Times New Roman" w:hAnsi="Times New Roman" w:cs="Times New Roman"/>
              </w:rPr>
              <w:t xml:space="preserve">All starters have DBS checks. Existing staff have renewal checks every three years. </w:t>
            </w:r>
          </w:p>
          <w:p w14:paraId="6395D99F" w14:textId="41219FD1" w:rsidR="009558B4" w:rsidRDefault="006B699F">
            <w:r>
              <w:rPr>
                <w:rFonts w:ascii="Times New Roman" w:eastAsia="Times New Roman" w:hAnsi="Times New Roman" w:cs="Times New Roman"/>
              </w:rPr>
              <w:t xml:space="preserve">The Principal, Vice Principal – Finance and Resources and HR Officer have received training on safer recruitment of staff. All SMT </w:t>
            </w:r>
            <w:r w:rsidR="00C107DB">
              <w:rPr>
                <w:rFonts w:ascii="Times New Roman" w:eastAsia="Times New Roman" w:hAnsi="Times New Roman" w:cs="Times New Roman"/>
              </w:rPr>
              <w:t>receive</w:t>
            </w:r>
            <w:r w:rsidR="006907A3">
              <w:rPr>
                <w:rFonts w:ascii="Times New Roman" w:eastAsia="Times New Roman" w:hAnsi="Times New Roman" w:cs="Times New Roman"/>
              </w:rPr>
              <w:t xml:space="preserve"> appropriate</w:t>
            </w:r>
            <w:r>
              <w:rPr>
                <w:rFonts w:ascii="Times New Roman" w:eastAsia="Times New Roman" w:hAnsi="Times New Roman" w:cs="Times New Roman"/>
              </w:rPr>
              <w:t xml:space="preserve"> training prior. </w:t>
            </w:r>
          </w:p>
        </w:tc>
      </w:tr>
      <w:tr w:rsidR="009558B4" w14:paraId="213BC183" w14:textId="77777777">
        <w:trPr>
          <w:trHeight w:val="4224"/>
        </w:trPr>
        <w:tc>
          <w:tcPr>
            <w:tcW w:w="0" w:type="auto"/>
            <w:vMerge/>
            <w:tcBorders>
              <w:top w:val="nil"/>
              <w:left w:val="single" w:sz="4" w:space="0" w:color="000000"/>
              <w:bottom w:val="single" w:sz="4" w:space="0" w:color="000000"/>
              <w:right w:val="single" w:sz="4" w:space="0" w:color="000000"/>
            </w:tcBorders>
          </w:tcPr>
          <w:p w14:paraId="255C98F3" w14:textId="77777777" w:rsidR="009558B4" w:rsidRDefault="009558B4"/>
        </w:tc>
        <w:tc>
          <w:tcPr>
            <w:tcW w:w="5023" w:type="dxa"/>
            <w:tcBorders>
              <w:top w:val="single" w:sz="4" w:space="0" w:color="000000"/>
              <w:left w:val="single" w:sz="4" w:space="0" w:color="000000"/>
              <w:bottom w:val="single" w:sz="4" w:space="0" w:color="000000"/>
              <w:right w:val="single" w:sz="4" w:space="0" w:color="000000"/>
            </w:tcBorders>
          </w:tcPr>
          <w:p w14:paraId="6C647718" w14:textId="77777777" w:rsidR="009558B4" w:rsidRDefault="006B699F">
            <w:pPr>
              <w:spacing w:after="120" w:line="252" w:lineRule="auto"/>
            </w:pPr>
            <w:r>
              <w:rPr>
                <w:rFonts w:ascii="Times New Roman" w:eastAsia="Times New Roman" w:hAnsi="Times New Roman" w:cs="Times New Roman"/>
              </w:rPr>
              <w:t xml:space="preserve">The Chair of the Corporation is the Corporation lead for safeguarding. </w:t>
            </w:r>
          </w:p>
          <w:p w14:paraId="6539C53C" w14:textId="77777777" w:rsidR="009558B4" w:rsidRDefault="006B699F">
            <w:pPr>
              <w:spacing w:after="121" w:line="251" w:lineRule="auto"/>
            </w:pPr>
            <w:r>
              <w:rPr>
                <w:rFonts w:ascii="Times New Roman" w:eastAsia="Times New Roman" w:hAnsi="Times New Roman" w:cs="Times New Roman"/>
              </w:rPr>
              <w:t xml:space="preserve">The College has a clear safeguarding policy. Staff have regular training and are clear about the reporting lines and responsibilities. </w:t>
            </w:r>
          </w:p>
          <w:p w14:paraId="74506FD3" w14:textId="77777777" w:rsidR="009558B4" w:rsidRDefault="006B699F">
            <w:pPr>
              <w:spacing w:after="120" w:line="252" w:lineRule="auto"/>
            </w:pPr>
            <w:r>
              <w:rPr>
                <w:rFonts w:ascii="Times New Roman" w:eastAsia="Times New Roman" w:hAnsi="Times New Roman" w:cs="Times New Roman"/>
              </w:rPr>
              <w:t xml:space="preserve">The Vice Principal – Finance and Resources has undertaken specific training on safeguarding legislation as it affects employees </w:t>
            </w:r>
          </w:p>
          <w:p w14:paraId="4CDEFA79" w14:textId="42C6FDA8" w:rsidR="009558B4" w:rsidRDefault="006B699F">
            <w:r>
              <w:rPr>
                <w:rFonts w:ascii="Times New Roman" w:eastAsia="Times New Roman" w:hAnsi="Times New Roman" w:cs="Times New Roman"/>
              </w:rPr>
              <w:t xml:space="preserve">Staff have been directed to read </w:t>
            </w:r>
            <w:r w:rsidR="006907A3">
              <w:rPr>
                <w:rFonts w:ascii="Times New Roman" w:eastAsia="Times New Roman" w:hAnsi="Times New Roman" w:cs="Times New Roman"/>
              </w:rPr>
              <w:t xml:space="preserve">the current </w:t>
            </w:r>
            <w:r>
              <w:rPr>
                <w:rFonts w:ascii="Times New Roman" w:eastAsia="Times New Roman" w:hAnsi="Times New Roman" w:cs="Times New Roman"/>
              </w:rPr>
              <w:t xml:space="preserve">‘Keeping children safe in education’ </w:t>
            </w:r>
            <w:r w:rsidR="006E3D3C">
              <w:rPr>
                <w:rFonts w:ascii="Times New Roman" w:eastAsia="Times New Roman" w:hAnsi="Times New Roman" w:cs="Times New Roman"/>
              </w:rPr>
              <w:t>(KCSIE)</w:t>
            </w:r>
          </w:p>
        </w:tc>
      </w:tr>
    </w:tbl>
    <w:p w14:paraId="0C7B71FE" w14:textId="77777777" w:rsidR="009558B4" w:rsidRDefault="009558B4">
      <w:pPr>
        <w:spacing w:after="0"/>
        <w:ind w:left="-1440" w:right="5"/>
      </w:pPr>
    </w:p>
    <w:tbl>
      <w:tblPr>
        <w:tblStyle w:val="TableGrid"/>
        <w:tblW w:w="13949" w:type="dxa"/>
        <w:tblInd w:w="5" w:type="dxa"/>
        <w:tblCellMar>
          <w:top w:w="168" w:type="dxa"/>
          <w:left w:w="108" w:type="dxa"/>
          <w:right w:w="99" w:type="dxa"/>
        </w:tblCellMar>
        <w:tblLook w:val="04A0" w:firstRow="1" w:lastRow="0" w:firstColumn="1" w:lastColumn="0" w:noHBand="0" w:noVBand="1"/>
      </w:tblPr>
      <w:tblGrid>
        <w:gridCol w:w="8926"/>
        <w:gridCol w:w="5023"/>
      </w:tblGrid>
      <w:tr w:rsidR="009558B4" w14:paraId="645E7438" w14:textId="77777777">
        <w:trPr>
          <w:trHeight w:val="8261"/>
        </w:trPr>
        <w:tc>
          <w:tcPr>
            <w:tcW w:w="8926" w:type="dxa"/>
            <w:tcBorders>
              <w:top w:val="single" w:sz="4" w:space="0" w:color="000000"/>
              <w:left w:val="single" w:sz="4" w:space="0" w:color="000000"/>
              <w:bottom w:val="single" w:sz="4" w:space="0" w:color="000000"/>
              <w:right w:val="single" w:sz="4" w:space="0" w:color="000000"/>
            </w:tcBorders>
          </w:tcPr>
          <w:p w14:paraId="76D0E7F9" w14:textId="77777777" w:rsidR="009558B4" w:rsidRDefault="006B699F">
            <w:pPr>
              <w:spacing w:after="113"/>
            </w:pPr>
            <w:r>
              <w:rPr>
                <w:rFonts w:ascii="Times New Roman" w:eastAsia="Times New Roman" w:hAnsi="Times New Roman" w:cs="Times New Roman"/>
              </w:rPr>
              <w:t xml:space="preserve">PREVENT </w:t>
            </w:r>
          </w:p>
          <w:p w14:paraId="47603F55" w14:textId="77777777" w:rsidR="009558B4" w:rsidRDefault="006B699F">
            <w:pPr>
              <w:spacing w:after="120" w:line="252" w:lineRule="auto"/>
            </w:pPr>
            <w:r>
              <w:rPr>
                <w:rFonts w:ascii="Times New Roman" w:eastAsia="Times New Roman" w:hAnsi="Times New Roman" w:cs="Times New Roman"/>
              </w:rPr>
              <w:t xml:space="preserve">Under the Counter-Terrorism and Security Act 2015 the corporation must have due regard to the need to prevent people from being drawn into terrorism. </w:t>
            </w:r>
          </w:p>
          <w:p w14:paraId="526A6DBB" w14:textId="77777777" w:rsidR="009558B4" w:rsidRDefault="006B699F">
            <w:pPr>
              <w:spacing w:after="120" w:line="252" w:lineRule="auto"/>
            </w:pPr>
            <w:r>
              <w:rPr>
                <w:rFonts w:ascii="Times New Roman" w:eastAsia="Times New Roman" w:hAnsi="Times New Roman" w:cs="Times New Roman"/>
              </w:rPr>
              <w:t xml:space="preserve">This is known as the Prevent duty and is part of the government's counter-terrorism strategy, CONTEST. </w:t>
            </w:r>
          </w:p>
          <w:p w14:paraId="58006E35" w14:textId="77777777" w:rsidR="009558B4" w:rsidRDefault="006B699F">
            <w:pPr>
              <w:spacing w:after="121" w:line="251" w:lineRule="auto"/>
            </w:pPr>
            <w:r>
              <w:rPr>
                <w:rFonts w:ascii="Times New Roman" w:eastAsia="Times New Roman" w:hAnsi="Times New Roman" w:cs="Times New Roman"/>
              </w:rPr>
              <w:t xml:space="preserve">Under the Prevent duty, FE providers and practitioners must exemplify British values in their practice and use opportunities to explore British values and to challenge extremism. British values are defined as including democracy, the rule of law, individual liberty, and mutual respect and tolerance for those with different faiths and beliefs. </w:t>
            </w:r>
          </w:p>
          <w:p w14:paraId="2390C7D7" w14:textId="77777777" w:rsidR="009558B4" w:rsidRDefault="006B699F">
            <w:pPr>
              <w:spacing w:after="127"/>
            </w:pPr>
            <w:r>
              <w:rPr>
                <w:rFonts w:ascii="Times New Roman" w:eastAsia="Times New Roman" w:hAnsi="Times New Roman" w:cs="Times New Roman"/>
              </w:rPr>
              <w:t xml:space="preserve">The board should ensure that: </w:t>
            </w:r>
          </w:p>
          <w:p w14:paraId="044F3BC1" w14:textId="77777777" w:rsidR="009558B4" w:rsidRDefault="006B699F">
            <w:pPr>
              <w:numPr>
                <w:ilvl w:val="0"/>
                <w:numId w:val="6"/>
              </w:numPr>
              <w:spacing w:after="127"/>
              <w:ind w:hanging="358"/>
            </w:pPr>
            <w:r>
              <w:rPr>
                <w:rFonts w:ascii="Times New Roman" w:eastAsia="Times New Roman" w:hAnsi="Times New Roman" w:cs="Times New Roman"/>
              </w:rPr>
              <w:t xml:space="preserve">there is an executive lead for the Prevent duty </w:t>
            </w:r>
          </w:p>
          <w:p w14:paraId="6EB41AE0" w14:textId="77777777" w:rsidR="009558B4" w:rsidRDefault="006B699F">
            <w:pPr>
              <w:numPr>
                <w:ilvl w:val="0"/>
                <w:numId w:val="6"/>
              </w:numPr>
              <w:spacing w:after="135" w:line="252" w:lineRule="auto"/>
              <w:ind w:hanging="358"/>
            </w:pPr>
            <w:r>
              <w:rPr>
                <w:rFonts w:ascii="Times New Roman" w:eastAsia="Times New Roman" w:hAnsi="Times New Roman" w:cs="Times New Roman"/>
              </w:rPr>
              <w:t xml:space="preserve">a risk assessment is carried out of where and how students and staff may be in danger of being drawn into terrorism </w:t>
            </w:r>
          </w:p>
          <w:p w14:paraId="0E77F352" w14:textId="77777777" w:rsidR="009558B4" w:rsidRDefault="006B699F">
            <w:pPr>
              <w:numPr>
                <w:ilvl w:val="0"/>
                <w:numId w:val="6"/>
              </w:numPr>
              <w:spacing w:after="132" w:line="252" w:lineRule="auto"/>
              <w:ind w:hanging="358"/>
            </w:pPr>
            <w:r>
              <w:rPr>
                <w:rFonts w:ascii="Times New Roman" w:eastAsia="Times New Roman" w:hAnsi="Times New Roman" w:cs="Times New Roman"/>
              </w:rPr>
              <w:t xml:space="preserve">governors and staff receive appropriate training and know the process for referring concerns to the appropriate body, such as the local authority or police (referrals should also be notified to ESFA) </w:t>
            </w:r>
          </w:p>
          <w:p w14:paraId="2ABE52A7" w14:textId="77777777" w:rsidR="009558B4" w:rsidRDefault="006B699F">
            <w:pPr>
              <w:numPr>
                <w:ilvl w:val="0"/>
                <w:numId w:val="6"/>
              </w:numPr>
              <w:spacing w:after="127"/>
              <w:ind w:hanging="358"/>
            </w:pPr>
            <w:r>
              <w:rPr>
                <w:rFonts w:ascii="Times New Roman" w:eastAsia="Times New Roman" w:hAnsi="Times New Roman" w:cs="Times New Roman"/>
              </w:rPr>
              <w:t xml:space="preserve">subcontractors that deliver courses are aware of the Prevent duty </w:t>
            </w:r>
          </w:p>
          <w:p w14:paraId="62759D8B" w14:textId="77777777" w:rsidR="009558B4" w:rsidRDefault="006B699F">
            <w:pPr>
              <w:numPr>
                <w:ilvl w:val="0"/>
                <w:numId w:val="6"/>
              </w:numPr>
              <w:spacing w:after="114"/>
              <w:ind w:hanging="358"/>
            </w:pPr>
            <w:r>
              <w:rPr>
                <w:rFonts w:ascii="Times New Roman" w:eastAsia="Times New Roman" w:hAnsi="Times New Roman" w:cs="Times New Roman"/>
              </w:rPr>
              <w:t xml:space="preserve">there are clear policies for: </w:t>
            </w:r>
          </w:p>
          <w:p w14:paraId="5529C545" w14:textId="77777777" w:rsidR="009558B4" w:rsidRDefault="006B699F">
            <w:pPr>
              <w:spacing w:after="131" w:line="262" w:lineRule="auto"/>
              <w:ind w:left="1082" w:right="2346"/>
            </w:pPr>
            <w:r>
              <w:rPr>
                <w:rFonts w:ascii="Times New Roman" w:eastAsia="Times New Roman" w:hAnsi="Times New Roman" w:cs="Times New Roman"/>
              </w:rPr>
              <w:t xml:space="preserve">o the management of events and the hosting of speakers o whistleblowing o complaints </w:t>
            </w:r>
          </w:p>
          <w:p w14:paraId="3E81D7DC" w14:textId="77777777" w:rsidR="009558B4" w:rsidRDefault="006B699F">
            <w:pPr>
              <w:numPr>
                <w:ilvl w:val="0"/>
                <w:numId w:val="6"/>
              </w:numPr>
              <w:ind w:hanging="358"/>
            </w:pPr>
            <w:r>
              <w:rPr>
                <w:rFonts w:ascii="Times New Roman" w:eastAsia="Times New Roman" w:hAnsi="Times New Roman" w:cs="Times New Roman"/>
              </w:rPr>
              <w:t xml:space="preserve">• Prevent is embedded in the corporation's other policies, such as use of IT equipment </w:t>
            </w:r>
          </w:p>
        </w:tc>
        <w:tc>
          <w:tcPr>
            <w:tcW w:w="5023" w:type="dxa"/>
            <w:tcBorders>
              <w:top w:val="single" w:sz="4" w:space="0" w:color="000000"/>
              <w:left w:val="single" w:sz="4" w:space="0" w:color="000000"/>
              <w:bottom w:val="single" w:sz="4" w:space="0" w:color="000000"/>
              <w:right w:val="single" w:sz="4" w:space="0" w:color="000000"/>
            </w:tcBorders>
          </w:tcPr>
          <w:p w14:paraId="1642ED10" w14:textId="77777777" w:rsidR="009558B4" w:rsidRDefault="006B699F">
            <w:r>
              <w:rPr>
                <w:rFonts w:ascii="Times New Roman" w:eastAsia="Times New Roman" w:hAnsi="Times New Roman" w:cs="Times New Roman"/>
              </w:rPr>
              <w:t xml:space="preserve">Prevent Policy </w:t>
            </w:r>
          </w:p>
          <w:p w14:paraId="208D45FF" w14:textId="77777777" w:rsidR="009558B4" w:rsidRDefault="006B699F">
            <w:pPr>
              <w:spacing w:after="113"/>
            </w:pPr>
            <w:r>
              <w:rPr>
                <w:rFonts w:ascii="Times New Roman" w:eastAsia="Times New Roman" w:hAnsi="Times New Roman" w:cs="Times New Roman"/>
              </w:rPr>
              <w:t xml:space="preserve">Whistle Blowing Policy </w:t>
            </w:r>
          </w:p>
          <w:p w14:paraId="66C3108A" w14:textId="66FDE980" w:rsidR="009558B4" w:rsidRDefault="006B699F">
            <w:r>
              <w:rPr>
                <w:rFonts w:ascii="Times New Roman" w:eastAsia="Times New Roman" w:hAnsi="Times New Roman" w:cs="Times New Roman"/>
              </w:rPr>
              <w:t xml:space="preserve">Training is provided to staff on an annual basis </w:t>
            </w:r>
          </w:p>
        </w:tc>
      </w:tr>
    </w:tbl>
    <w:p w14:paraId="169D6C60" w14:textId="77777777" w:rsidR="009558B4" w:rsidRDefault="009558B4">
      <w:pPr>
        <w:spacing w:after="0"/>
        <w:ind w:left="-1440" w:right="5"/>
      </w:pPr>
    </w:p>
    <w:tbl>
      <w:tblPr>
        <w:tblStyle w:val="TableGrid"/>
        <w:tblW w:w="13949" w:type="dxa"/>
        <w:tblInd w:w="5" w:type="dxa"/>
        <w:tblCellMar>
          <w:top w:w="168" w:type="dxa"/>
          <w:left w:w="108" w:type="dxa"/>
          <w:bottom w:w="49" w:type="dxa"/>
          <w:right w:w="60" w:type="dxa"/>
        </w:tblCellMar>
        <w:tblLook w:val="04A0" w:firstRow="1" w:lastRow="0" w:firstColumn="1" w:lastColumn="0" w:noHBand="0" w:noVBand="1"/>
      </w:tblPr>
      <w:tblGrid>
        <w:gridCol w:w="8926"/>
        <w:gridCol w:w="5023"/>
      </w:tblGrid>
      <w:tr w:rsidR="009558B4" w14:paraId="24CFA9C1" w14:textId="77777777">
        <w:trPr>
          <w:trHeight w:val="6475"/>
        </w:trPr>
        <w:tc>
          <w:tcPr>
            <w:tcW w:w="8926" w:type="dxa"/>
            <w:tcBorders>
              <w:top w:val="single" w:sz="4" w:space="0" w:color="000000"/>
              <w:left w:val="single" w:sz="4" w:space="0" w:color="000000"/>
              <w:bottom w:val="single" w:sz="4" w:space="0" w:color="000000"/>
              <w:right w:val="single" w:sz="4" w:space="0" w:color="000000"/>
            </w:tcBorders>
            <w:vAlign w:val="bottom"/>
          </w:tcPr>
          <w:p w14:paraId="30536529" w14:textId="77777777" w:rsidR="009558B4" w:rsidRDefault="006B699F">
            <w:pPr>
              <w:spacing w:after="113"/>
            </w:pPr>
            <w:r>
              <w:rPr>
                <w:rFonts w:ascii="Times New Roman" w:eastAsia="Times New Roman" w:hAnsi="Times New Roman" w:cs="Times New Roman"/>
              </w:rPr>
              <w:t xml:space="preserve">Equality </w:t>
            </w:r>
          </w:p>
          <w:p w14:paraId="0A5C97E9" w14:textId="77777777" w:rsidR="009558B4" w:rsidRDefault="006B699F">
            <w:pPr>
              <w:spacing w:after="127"/>
            </w:pPr>
            <w:r>
              <w:rPr>
                <w:rFonts w:ascii="Times New Roman" w:eastAsia="Times New Roman" w:hAnsi="Times New Roman" w:cs="Times New Roman"/>
              </w:rPr>
              <w:t xml:space="preserve">The Equality Act 2010 applies to the corporation as: </w:t>
            </w:r>
          </w:p>
          <w:p w14:paraId="1D3C7A19" w14:textId="77777777" w:rsidR="009558B4" w:rsidRDefault="006B699F">
            <w:pPr>
              <w:numPr>
                <w:ilvl w:val="0"/>
                <w:numId w:val="7"/>
              </w:numPr>
              <w:spacing w:after="8"/>
              <w:ind w:hanging="360"/>
            </w:pPr>
            <w:r>
              <w:rPr>
                <w:rFonts w:ascii="Times New Roman" w:eastAsia="Times New Roman" w:hAnsi="Times New Roman" w:cs="Times New Roman"/>
              </w:rPr>
              <w:t xml:space="preserve">an employer </w:t>
            </w:r>
          </w:p>
          <w:p w14:paraId="3424CA41" w14:textId="77777777" w:rsidR="009558B4" w:rsidRDefault="006B699F">
            <w:pPr>
              <w:numPr>
                <w:ilvl w:val="0"/>
                <w:numId w:val="7"/>
              </w:numPr>
              <w:spacing w:after="7"/>
              <w:ind w:hanging="360"/>
            </w:pPr>
            <w:r>
              <w:rPr>
                <w:rFonts w:ascii="Times New Roman" w:eastAsia="Times New Roman" w:hAnsi="Times New Roman" w:cs="Times New Roman"/>
              </w:rPr>
              <w:t xml:space="preserve">a provider of a service or public function </w:t>
            </w:r>
          </w:p>
          <w:p w14:paraId="026FE9CC" w14:textId="77777777" w:rsidR="009558B4" w:rsidRDefault="006B699F">
            <w:pPr>
              <w:numPr>
                <w:ilvl w:val="0"/>
                <w:numId w:val="7"/>
              </w:numPr>
              <w:spacing w:after="8"/>
              <w:ind w:hanging="360"/>
            </w:pPr>
            <w:r>
              <w:rPr>
                <w:rFonts w:ascii="Times New Roman" w:eastAsia="Times New Roman" w:hAnsi="Times New Roman" w:cs="Times New Roman"/>
              </w:rPr>
              <w:t xml:space="preserve">a provider of education </w:t>
            </w:r>
          </w:p>
          <w:p w14:paraId="1A68E3D8" w14:textId="77777777" w:rsidR="009558B4" w:rsidRDefault="006B699F">
            <w:pPr>
              <w:numPr>
                <w:ilvl w:val="0"/>
                <w:numId w:val="7"/>
              </w:numPr>
              <w:spacing w:after="111"/>
              <w:ind w:hanging="360"/>
            </w:pPr>
            <w:r>
              <w:rPr>
                <w:rFonts w:ascii="Times New Roman" w:eastAsia="Times New Roman" w:hAnsi="Times New Roman" w:cs="Times New Roman"/>
              </w:rPr>
              <w:t xml:space="preserve">a public body </w:t>
            </w:r>
          </w:p>
          <w:p w14:paraId="44F999CE" w14:textId="77777777" w:rsidR="009558B4" w:rsidRDefault="006B699F">
            <w:pPr>
              <w:spacing w:after="127"/>
            </w:pPr>
            <w:r>
              <w:rPr>
                <w:rFonts w:ascii="Times New Roman" w:eastAsia="Times New Roman" w:hAnsi="Times New Roman" w:cs="Times New Roman"/>
              </w:rPr>
              <w:t xml:space="preserve">The corporation must: </w:t>
            </w:r>
          </w:p>
          <w:p w14:paraId="368E577E" w14:textId="77777777" w:rsidR="009558B4" w:rsidRDefault="006B699F">
            <w:pPr>
              <w:numPr>
                <w:ilvl w:val="0"/>
                <w:numId w:val="7"/>
              </w:numPr>
              <w:spacing w:after="127"/>
              <w:ind w:hanging="360"/>
            </w:pPr>
            <w:r>
              <w:rPr>
                <w:rFonts w:ascii="Times New Roman" w:eastAsia="Times New Roman" w:hAnsi="Times New Roman" w:cs="Times New Roman"/>
              </w:rPr>
              <w:t xml:space="preserve">have due regard for the need to eliminate discrimination </w:t>
            </w:r>
          </w:p>
          <w:p w14:paraId="0DBF4695" w14:textId="77777777" w:rsidR="009558B4" w:rsidRDefault="006B699F">
            <w:pPr>
              <w:numPr>
                <w:ilvl w:val="0"/>
                <w:numId w:val="7"/>
              </w:numPr>
              <w:spacing w:after="135" w:line="252" w:lineRule="auto"/>
              <w:ind w:hanging="360"/>
            </w:pPr>
            <w:r>
              <w:rPr>
                <w:rFonts w:ascii="Times New Roman" w:eastAsia="Times New Roman" w:hAnsi="Times New Roman" w:cs="Times New Roman"/>
              </w:rPr>
              <w:t xml:space="preserve">advance equality of opportunity and foster good relations between people who share a protected characteristic such as disability and gender, and those who do not </w:t>
            </w:r>
          </w:p>
          <w:p w14:paraId="7E037261" w14:textId="77777777" w:rsidR="009558B4" w:rsidRDefault="006B699F">
            <w:pPr>
              <w:numPr>
                <w:ilvl w:val="0"/>
                <w:numId w:val="7"/>
              </w:numPr>
              <w:spacing w:after="113"/>
              <w:ind w:hanging="360"/>
            </w:pPr>
            <w:r>
              <w:rPr>
                <w:rFonts w:ascii="Times New Roman" w:eastAsia="Times New Roman" w:hAnsi="Times New Roman" w:cs="Times New Roman"/>
              </w:rPr>
              <w:t xml:space="preserve">publish equality objectives and information demonstrating how it meets these </w:t>
            </w:r>
          </w:p>
          <w:p w14:paraId="6547F28A" w14:textId="77777777" w:rsidR="009558B4" w:rsidRDefault="006B699F">
            <w:pPr>
              <w:spacing w:after="120" w:line="252" w:lineRule="auto"/>
            </w:pPr>
            <w:r>
              <w:rPr>
                <w:rFonts w:ascii="Times New Roman" w:eastAsia="Times New Roman" w:hAnsi="Times New Roman" w:cs="Times New Roman"/>
              </w:rPr>
              <w:t xml:space="preserve">The Act also includes specific requirements for education providers. In particular, it prohibits the corporation from discriminating against, harassing or victimising prospective and current students. </w:t>
            </w:r>
          </w:p>
          <w:p w14:paraId="1430895A" w14:textId="77777777" w:rsidR="009558B4" w:rsidRDefault="006B699F">
            <w:pPr>
              <w:spacing w:after="118" w:line="252" w:lineRule="auto"/>
            </w:pPr>
            <w:r>
              <w:rPr>
                <w:rFonts w:ascii="Times New Roman" w:eastAsia="Times New Roman" w:hAnsi="Times New Roman" w:cs="Times New Roman"/>
              </w:rPr>
              <w:t xml:space="preserve">The act provides similar protection to former students in certain circumstances- for example, when a college provides a reference. </w:t>
            </w:r>
          </w:p>
          <w:p w14:paraId="251206C8" w14:textId="77777777" w:rsidR="009558B4" w:rsidRDefault="006B699F">
            <w:pPr>
              <w:spacing w:after="120" w:line="252" w:lineRule="auto"/>
            </w:pPr>
            <w:r>
              <w:rPr>
                <w:rFonts w:ascii="Times New Roman" w:eastAsia="Times New Roman" w:hAnsi="Times New Roman" w:cs="Times New Roman"/>
              </w:rPr>
              <w:t xml:space="preserve">[If a corporation has 250 employees or more, it must also meet the gender pay gap reporting requirements (not applicable to BSix)] </w:t>
            </w:r>
          </w:p>
          <w:p w14:paraId="3F9AEC44" w14:textId="77777777" w:rsidR="009558B4" w:rsidRDefault="006B699F">
            <w:r>
              <w:rPr>
                <w:rFonts w:ascii="Times New Roman" w:eastAsia="Times New Roman" w:hAnsi="Times New Roman" w:cs="Times New Roman"/>
              </w:rPr>
              <w:t xml:space="preserve"> </w:t>
            </w:r>
          </w:p>
        </w:tc>
        <w:tc>
          <w:tcPr>
            <w:tcW w:w="5023" w:type="dxa"/>
            <w:tcBorders>
              <w:top w:val="single" w:sz="4" w:space="0" w:color="000000"/>
              <w:left w:val="single" w:sz="4" w:space="0" w:color="000000"/>
              <w:bottom w:val="single" w:sz="4" w:space="0" w:color="000000"/>
              <w:right w:val="single" w:sz="4" w:space="0" w:color="000000"/>
            </w:tcBorders>
          </w:tcPr>
          <w:p w14:paraId="3566BCBA" w14:textId="77777777" w:rsidR="009558B4" w:rsidRDefault="006B699F">
            <w:r>
              <w:rPr>
                <w:rFonts w:ascii="Times New Roman" w:eastAsia="Times New Roman" w:hAnsi="Times New Roman" w:cs="Times New Roman"/>
              </w:rPr>
              <w:t xml:space="preserve">Single Equality Policy </w:t>
            </w:r>
          </w:p>
          <w:p w14:paraId="4163051C" w14:textId="77777777" w:rsidR="009558B4" w:rsidRDefault="006B699F">
            <w:pPr>
              <w:spacing w:after="113"/>
            </w:pPr>
            <w:r>
              <w:rPr>
                <w:rFonts w:ascii="Times New Roman" w:eastAsia="Times New Roman" w:hAnsi="Times New Roman" w:cs="Times New Roman"/>
              </w:rPr>
              <w:t xml:space="preserve">Equality and Diversity Policy </w:t>
            </w:r>
          </w:p>
          <w:p w14:paraId="0EC7DF56" w14:textId="77777777" w:rsidR="009558B4" w:rsidRDefault="006B699F">
            <w:r>
              <w:rPr>
                <w:rFonts w:ascii="Times New Roman" w:eastAsia="Times New Roman" w:hAnsi="Times New Roman" w:cs="Times New Roman"/>
              </w:rPr>
              <w:t xml:space="preserve">The Equality and Diversity Group has been re-formed. The policies have been reviewed and the Group reviews information and is following an action plan. The Group will produce an Annual Equality Report to the Corporation for 2018-2019. </w:t>
            </w:r>
          </w:p>
        </w:tc>
      </w:tr>
    </w:tbl>
    <w:p w14:paraId="4DB01DD7" w14:textId="77777777" w:rsidR="009558B4" w:rsidRDefault="009558B4">
      <w:pPr>
        <w:spacing w:after="0"/>
        <w:ind w:left="-1440" w:right="5"/>
      </w:pPr>
    </w:p>
    <w:tbl>
      <w:tblPr>
        <w:tblStyle w:val="TableGrid"/>
        <w:tblW w:w="13949" w:type="dxa"/>
        <w:tblInd w:w="5" w:type="dxa"/>
        <w:tblCellMar>
          <w:top w:w="168" w:type="dxa"/>
          <w:left w:w="108" w:type="dxa"/>
          <w:right w:w="66" w:type="dxa"/>
        </w:tblCellMar>
        <w:tblLook w:val="04A0" w:firstRow="1" w:lastRow="0" w:firstColumn="1" w:lastColumn="0" w:noHBand="0" w:noVBand="1"/>
      </w:tblPr>
      <w:tblGrid>
        <w:gridCol w:w="8926"/>
        <w:gridCol w:w="5023"/>
      </w:tblGrid>
      <w:tr w:rsidR="009558B4" w14:paraId="52331712" w14:textId="77777777">
        <w:trPr>
          <w:trHeight w:val="2834"/>
        </w:trPr>
        <w:tc>
          <w:tcPr>
            <w:tcW w:w="8926" w:type="dxa"/>
            <w:tcBorders>
              <w:top w:val="single" w:sz="4" w:space="0" w:color="000000"/>
              <w:left w:val="single" w:sz="4" w:space="0" w:color="000000"/>
              <w:bottom w:val="single" w:sz="4" w:space="0" w:color="000000"/>
              <w:right w:val="single" w:sz="4" w:space="0" w:color="000000"/>
            </w:tcBorders>
            <w:vAlign w:val="center"/>
          </w:tcPr>
          <w:p w14:paraId="78759AF1" w14:textId="77777777" w:rsidR="009558B4" w:rsidRDefault="006B699F">
            <w:pPr>
              <w:spacing w:after="113"/>
            </w:pPr>
            <w:r>
              <w:rPr>
                <w:rFonts w:ascii="Times New Roman" w:eastAsia="Times New Roman" w:hAnsi="Times New Roman" w:cs="Times New Roman"/>
              </w:rPr>
              <w:t xml:space="preserve">Name changes </w:t>
            </w:r>
          </w:p>
          <w:p w14:paraId="52C60796" w14:textId="77777777" w:rsidR="009558B4" w:rsidRDefault="006B699F">
            <w:pPr>
              <w:spacing w:after="127"/>
            </w:pPr>
            <w:r>
              <w:rPr>
                <w:rFonts w:ascii="Times New Roman" w:eastAsia="Times New Roman" w:hAnsi="Times New Roman" w:cs="Times New Roman"/>
              </w:rPr>
              <w:t xml:space="preserve">To change the statutory name of the college, the board must: </w:t>
            </w:r>
          </w:p>
          <w:p w14:paraId="121DDF09" w14:textId="77777777" w:rsidR="009558B4" w:rsidRDefault="006B699F">
            <w:pPr>
              <w:numPr>
                <w:ilvl w:val="0"/>
                <w:numId w:val="8"/>
              </w:numPr>
              <w:spacing w:after="7"/>
              <w:ind w:hanging="360"/>
            </w:pPr>
            <w:r>
              <w:rPr>
                <w:rFonts w:ascii="Times New Roman" w:eastAsia="Times New Roman" w:hAnsi="Times New Roman" w:cs="Times New Roman"/>
              </w:rPr>
              <w:t xml:space="preserve">follow the relevant provisions in the corporation's instrument and articles </w:t>
            </w:r>
          </w:p>
          <w:p w14:paraId="1F021212" w14:textId="77777777" w:rsidR="009558B4" w:rsidRDefault="006B699F">
            <w:pPr>
              <w:numPr>
                <w:ilvl w:val="0"/>
                <w:numId w:val="8"/>
              </w:numPr>
              <w:spacing w:after="8"/>
              <w:ind w:hanging="360"/>
            </w:pPr>
            <w:r>
              <w:rPr>
                <w:rFonts w:ascii="Times New Roman" w:eastAsia="Times New Roman" w:hAnsi="Times New Roman" w:cs="Times New Roman"/>
              </w:rPr>
              <w:t xml:space="preserve">consult stakeholders </w:t>
            </w:r>
          </w:p>
          <w:p w14:paraId="2D7C000D" w14:textId="77777777" w:rsidR="009558B4" w:rsidRDefault="006B699F">
            <w:pPr>
              <w:numPr>
                <w:ilvl w:val="0"/>
                <w:numId w:val="8"/>
              </w:numPr>
              <w:spacing w:after="113"/>
              <w:ind w:hanging="360"/>
            </w:pPr>
            <w:r>
              <w:rPr>
                <w:rFonts w:ascii="Times New Roman" w:eastAsia="Times New Roman" w:hAnsi="Times New Roman" w:cs="Times New Roman"/>
              </w:rPr>
              <w:t xml:space="preserve">apply to the Secretary of State for approval </w:t>
            </w:r>
          </w:p>
          <w:p w14:paraId="091ABF74" w14:textId="77777777" w:rsidR="009558B4" w:rsidRDefault="006B699F">
            <w:pPr>
              <w:ind w:right="1"/>
            </w:pPr>
            <w:r>
              <w:rPr>
                <w:rFonts w:ascii="Times New Roman" w:eastAsia="Times New Roman" w:hAnsi="Times New Roman" w:cs="Times New Roman"/>
              </w:rPr>
              <w:t xml:space="preserve">There are rules on the names, words and expressions allowed. These also apply to business (trading) names. For example, a new name should not be similar to that of an existing educational organisation. </w:t>
            </w:r>
          </w:p>
        </w:tc>
        <w:tc>
          <w:tcPr>
            <w:tcW w:w="5023" w:type="dxa"/>
            <w:tcBorders>
              <w:top w:val="single" w:sz="4" w:space="0" w:color="000000"/>
              <w:left w:val="single" w:sz="4" w:space="0" w:color="000000"/>
              <w:bottom w:val="single" w:sz="4" w:space="0" w:color="000000"/>
              <w:right w:val="single" w:sz="4" w:space="0" w:color="000000"/>
            </w:tcBorders>
          </w:tcPr>
          <w:p w14:paraId="622F789D" w14:textId="6C477830" w:rsidR="009558B4" w:rsidRDefault="006B699F">
            <w:r>
              <w:rPr>
                <w:rFonts w:ascii="Times New Roman" w:eastAsia="Times New Roman" w:hAnsi="Times New Roman" w:cs="Times New Roman"/>
              </w:rPr>
              <w:t xml:space="preserve">No statutory name changes have been contemplated. </w:t>
            </w:r>
            <w:r w:rsidR="00BB1166">
              <w:rPr>
                <w:rFonts w:ascii="Times New Roman" w:eastAsia="Times New Roman" w:hAnsi="Times New Roman" w:cs="Times New Roman"/>
              </w:rPr>
              <w:t>A</w:t>
            </w:r>
            <w:r>
              <w:rPr>
                <w:rFonts w:ascii="Times New Roman" w:eastAsia="Times New Roman" w:hAnsi="Times New Roman" w:cs="Times New Roman"/>
              </w:rPr>
              <w:t xml:space="preserve"> new trading name</w:t>
            </w:r>
            <w:r w:rsidR="00BB1166">
              <w:rPr>
                <w:rFonts w:ascii="Times New Roman" w:eastAsia="Times New Roman" w:hAnsi="Times New Roman" w:cs="Times New Roman"/>
              </w:rPr>
              <w:t xml:space="preserve"> may be considered</w:t>
            </w:r>
            <w:r>
              <w:rPr>
                <w:rFonts w:ascii="Times New Roman" w:eastAsia="Times New Roman" w:hAnsi="Times New Roman" w:cs="Times New Roman"/>
              </w:rPr>
              <w:t xml:space="preserve">. </w:t>
            </w:r>
          </w:p>
        </w:tc>
      </w:tr>
      <w:tr w:rsidR="009558B4" w14:paraId="2A399ADF" w14:textId="77777777">
        <w:trPr>
          <w:trHeight w:val="5815"/>
        </w:trPr>
        <w:tc>
          <w:tcPr>
            <w:tcW w:w="8926" w:type="dxa"/>
            <w:tcBorders>
              <w:top w:val="single" w:sz="4" w:space="0" w:color="000000"/>
              <w:left w:val="single" w:sz="4" w:space="0" w:color="000000"/>
              <w:bottom w:val="single" w:sz="4" w:space="0" w:color="000000"/>
              <w:right w:val="single" w:sz="4" w:space="0" w:color="000000"/>
            </w:tcBorders>
          </w:tcPr>
          <w:p w14:paraId="0D08E6EF" w14:textId="77777777" w:rsidR="009558B4" w:rsidRDefault="006B699F">
            <w:pPr>
              <w:spacing w:after="113"/>
            </w:pPr>
            <w:r>
              <w:rPr>
                <w:rFonts w:ascii="Times New Roman" w:eastAsia="Times New Roman" w:hAnsi="Times New Roman" w:cs="Times New Roman"/>
              </w:rPr>
              <w:t xml:space="preserve">Financial management </w:t>
            </w:r>
          </w:p>
          <w:p w14:paraId="299006B0" w14:textId="77777777" w:rsidR="009558B4" w:rsidRDefault="006B699F">
            <w:pPr>
              <w:spacing w:after="120" w:line="252" w:lineRule="auto"/>
            </w:pPr>
            <w:r>
              <w:rPr>
                <w:rFonts w:ascii="Times New Roman" w:eastAsia="Times New Roman" w:hAnsi="Times New Roman" w:cs="Times New Roman"/>
              </w:rPr>
              <w:t xml:space="preserve">The board oversees the corporation's financial performance and must ensure financial sustainability and solvency. </w:t>
            </w:r>
          </w:p>
          <w:p w14:paraId="155D59B1" w14:textId="77777777" w:rsidR="009558B4" w:rsidRDefault="006B699F">
            <w:pPr>
              <w:spacing w:after="127"/>
            </w:pPr>
            <w:r>
              <w:rPr>
                <w:rFonts w:ascii="Times New Roman" w:eastAsia="Times New Roman" w:hAnsi="Times New Roman" w:cs="Times New Roman"/>
              </w:rPr>
              <w:t xml:space="preserve">The board should: </w:t>
            </w:r>
          </w:p>
          <w:p w14:paraId="3946A747" w14:textId="77777777" w:rsidR="009558B4" w:rsidRDefault="006B699F">
            <w:pPr>
              <w:numPr>
                <w:ilvl w:val="0"/>
                <w:numId w:val="9"/>
              </w:numPr>
              <w:spacing w:after="135" w:line="252" w:lineRule="auto"/>
              <w:ind w:hanging="355"/>
            </w:pPr>
            <w:r>
              <w:rPr>
                <w:rFonts w:ascii="Times New Roman" w:eastAsia="Times New Roman" w:hAnsi="Times New Roman" w:cs="Times New Roman"/>
              </w:rPr>
              <w:t xml:space="preserve">ensure that financial strategies are affordable and consistent with its strategic plans and objectives </w:t>
            </w:r>
          </w:p>
          <w:p w14:paraId="668C2FAC" w14:textId="77777777" w:rsidR="009558B4" w:rsidRDefault="006B699F">
            <w:pPr>
              <w:numPr>
                <w:ilvl w:val="0"/>
                <w:numId w:val="9"/>
              </w:numPr>
              <w:spacing w:after="128"/>
              <w:ind w:hanging="355"/>
            </w:pPr>
            <w:r>
              <w:rPr>
                <w:rFonts w:ascii="Times New Roman" w:eastAsia="Times New Roman" w:hAnsi="Times New Roman" w:cs="Times New Roman"/>
              </w:rPr>
              <w:t xml:space="preserve">manage strategic risk </w:t>
            </w:r>
          </w:p>
          <w:p w14:paraId="2B0DD45E" w14:textId="77777777" w:rsidR="009558B4" w:rsidRDefault="006B699F">
            <w:pPr>
              <w:numPr>
                <w:ilvl w:val="0"/>
                <w:numId w:val="9"/>
              </w:numPr>
              <w:spacing w:after="127"/>
              <w:ind w:hanging="355"/>
            </w:pPr>
            <w:r>
              <w:rPr>
                <w:rFonts w:ascii="Times New Roman" w:eastAsia="Times New Roman" w:hAnsi="Times New Roman" w:cs="Times New Roman"/>
              </w:rPr>
              <w:t xml:space="preserve">monitor financial performance using key performance indicators </w:t>
            </w:r>
          </w:p>
          <w:p w14:paraId="4C98EFCB" w14:textId="77777777" w:rsidR="009558B4" w:rsidRDefault="006B699F">
            <w:pPr>
              <w:numPr>
                <w:ilvl w:val="0"/>
                <w:numId w:val="9"/>
              </w:numPr>
              <w:spacing w:after="137" w:line="250" w:lineRule="auto"/>
              <w:ind w:hanging="355"/>
            </w:pPr>
            <w:r>
              <w:rPr>
                <w:rFonts w:ascii="Times New Roman" w:eastAsia="Times New Roman" w:hAnsi="Times New Roman" w:cs="Times New Roman"/>
              </w:rPr>
              <w:t xml:space="preserve">ensure it receives reliable and timely financial information, including cash flow forecasting, so it can recognise any difficulties at an early stage </w:t>
            </w:r>
          </w:p>
          <w:p w14:paraId="223409D4" w14:textId="77777777" w:rsidR="009558B4" w:rsidRDefault="006B699F">
            <w:pPr>
              <w:numPr>
                <w:ilvl w:val="0"/>
                <w:numId w:val="9"/>
              </w:numPr>
              <w:spacing w:after="135" w:line="252" w:lineRule="auto"/>
              <w:ind w:hanging="355"/>
            </w:pPr>
            <w:r>
              <w:rPr>
                <w:rFonts w:ascii="Times New Roman" w:eastAsia="Times New Roman" w:hAnsi="Times New Roman" w:cs="Times New Roman"/>
              </w:rPr>
              <w:t xml:space="preserve">ensure there are robust financial controls, especially in high risk areas such as payroll systems </w:t>
            </w:r>
          </w:p>
          <w:p w14:paraId="4169BDA4" w14:textId="77777777" w:rsidR="009558B4" w:rsidRDefault="006B699F">
            <w:pPr>
              <w:numPr>
                <w:ilvl w:val="0"/>
                <w:numId w:val="9"/>
              </w:numPr>
              <w:spacing w:after="127"/>
              <w:ind w:hanging="355"/>
            </w:pPr>
            <w:r>
              <w:rPr>
                <w:rFonts w:ascii="Times New Roman" w:eastAsia="Times New Roman" w:hAnsi="Times New Roman" w:cs="Times New Roman"/>
              </w:rPr>
              <w:t xml:space="preserve">ensure delegated authority to staff is clearly documented </w:t>
            </w:r>
          </w:p>
          <w:p w14:paraId="109D1C31" w14:textId="77777777" w:rsidR="009558B4" w:rsidRDefault="006B699F">
            <w:pPr>
              <w:numPr>
                <w:ilvl w:val="0"/>
                <w:numId w:val="9"/>
              </w:numPr>
              <w:spacing w:after="127"/>
              <w:ind w:hanging="355"/>
            </w:pPr>
            <w:r>
              <w:rPr>
                <w:rFonts w:ascii="Times New Roman" w:eastAsia="Times New Roman" w:hAnsi="Times New Roman" w:cs="Times New Roman"/>
              </w:rPr>
              <w:t xml:space="preserve">ensure financial policies and procedures are regularly reviewed </w:t>
            </w:r>
          </w:p>
          <w:p w14:paraId="764F2E95" w14:textId="77777777" w:rsidR="009558B4" w:rsidRDefault="006B699F">
            <w:pPr>
              <w:numPr>
                <w:ilvl w:val="0"/>
                <w:numId w:val="9"/>
              </w:numPr>
              <w:ind w:hanging="355"/>
            </w:pPr>
            <w:r>
              <w:rPr>
                <w:rFonts w:ascii="Times New Roman" w:eastAsia="Times New Roman" w:hAnsi="Times New Roman" w:cs="Times New Roman"/>
              </w:rPr>
              <w:t xml:space="preserve">take immediate action and professional advice when it thinks insolvency is a possibility </w:t>
            </w:r>
          </w:p>
        </w:tc>
        <w:tc>
          <w:tcPr>
            <w:tcW w:w="5023" w:type="dxa"/>
            <w:tcBorders>
              <w:top w:val="single" w:sz="4" w:space="0" w:color="000000"/>
              <w:left w:val="single" w:sz="4" w:space="0" w:color="000000"/>
              <w:bottom w:val="single" w:sz="4" w:space="0" w:color="000000"/>
              <w:right w:val="single" w:sz="4" w:space="0" w:color="000000"/>
            </w:tcBorders>
          </w:tcPr>
          <w:p w14:paraId="56BAFF77" w14:textId="77777777" w:rsidR="009558B4" w:rsidRDefault="006B699F">
            <w:r>
              <w:rPr>
                <w:rFonts w:ascii="Times New Roman" w:eastAsia="Times New Roman" w:hAnsi="Times New Roman" w:cs="Times New Roman"/>
              </w:rPr>
              <w:t xml:space="preserve">Monthly management accounts </w:t>
            </w:r>
          </w:p>
          <w:p w14:paraId="5EE76374" w14:textId="77777777" w:rsidR="009558B4" w:rsidRDefault="006B699F">
            <w:pPr>
              <w:spacing w:after="120" w:line="252" w:lineRule="auto"/>
              <w:ind w:right="390"/>
            </w:pPr>
            <w:r>
              <w:rPr>
                <w:rFonts w:ascii="Times New Roman" w:eastAsia="Times New Roman" w:hAnsi="Times New Roman" w:cs="Times New Roman"/>
              </w:rPr>
              <w:t xml:space="preserve">Financial plan and commentary (includes financial objectives and strategy) Financial Regulations </w:t>
            </w:r>
          </w:p>
          <w:p w14:paraId="6DDF3034" w14:textId="77777777" w:rsidR="009558B4" w:rsidRDefault="006B699F">
            <w:pPr>
              <w:spacing w:after="120" w:line="252" w:lineRule="auto"/>
            </w:pPr>
            <w:r>
              <w:rPr>
                <w:rFonts w:ascii="Times New Roman" w:eastAsia="Times New Roman" w:hAnsi="Times New Roman" w:cs="Times New Roman"/>
              </w:rPr>
              <w:t xml:space="preserve">The financial strategy, objectives and targets are clearly set out in the commentary that accompanies the Financial Plan. </w:t>
            </w:r>
          </w:p>
          <w:p w14:paraId="26493DA4" w14:textId="77777777" w:rsidR="009558B4" w:rsidRDefault="006B699F">
            <w:pPr>
              <w:spacing w:after="121" w:line="252" w:lineRule="auto"/>
              <w:ind w:right="21"/>
            </w:pPr>
            <w:r>
              <w:rPr>
                <w:rFonts w:ascii="Times New Roman" w:eastAsia="Times New Roman" w:hAnsi="Times New Roman" w:cs="Times New Roman"/>
              </w:rPr>
              <w:t xml:space="preserve">The internal controls are set out in the Financial Regulations. The Audit Committee considers the effectiveness of the controls, with the guidance of the internal auditor, and reports this to the Corporation on an annual basis. </w:t>
            </w:r>
          </w:p>
          <w:p w14:paraId="62CE9511" w14:textId="77777777" w:rsidR="009558B4" w:rsidRDefault="006B699F">
            <w:pPr>
              <w:jc w:val="both"/>
            </w:pPr>
            <w:r>
              <w:rPr>
                <w:rFonts w:ascii="Times New Roman" w:eastAsia="Times New Roman" w:hAnsi="Times New Roman" w:cs="Times New Roman"/>
              </w:rPr>
              <w:t xml:space="preserve">The monthly management accounts set out KPIs and cash flow forecasts. </w:t>
            </w:r>
          </w:p>
        </w:tc>
      </w:tr>
    </w:tbl>
    <w:p w14:paraId="7EF733DA" w14:textId="77777777" w:rsidR="009558B4" w:rsidRDefault="009558B4">
      <w:pPr>
        <w:spacing w:after="0"/>
        <w:ind w:left="-1440" w:right="5"/>
      </w:pPr>
    </w:p>
    <w:tbl>
      <w:tblPr>
        <w:tblStyle w:val="TableGrid"/>
        <w:tblW w:w="13949" w:type="dxa"/>
        <w:tblInd w:w="5" w:type="dxa"/>
        <w:tblCellMar>
          <w:top w:w="168" w:type="dxa"/>
          <w:left w:w="108" w:type="dxa"/>
          <w:right w:w="306" w:type="dxa"/>
        </w:tblCellMar>
        <w:tblLook w:val="04A0" w:firstRow="1" w:lastRow="0" w:firstColumn="1" w:lastColumn="0" w:noHBand="0" w:noVBand="1"/>
      </w:tblPr>
      <w:tblGrid>
        <w:gridCol w:w="8926"/>
        <w:gridCol w:w="5023"/>
      </w:tblGrid>
      <w:tr w:rsidR="009558B4" w14:paraId="576208AD" w14:textId="77777777">
        <w:trPr>
          <w:trHeight w:val="4375"/>
        </w:trPr>
        <w:tc>
          <w:tcPr>
            <w:tcW w:w="8926" w:type="dxa"/>
            <w:tcBorders>
              <w:top w:val="single" w:sz="4" w:space="0" w:color="000000"/>
              <w:left w:val="single" w:sz="4" w:space="0" w:color="000000"/>
              <w:bottom w:val="single" w:sz="4" w:space="0" w:color="000000"/>
              <w:right w:val="single" w:sz="4" w:space="0" w:color="000000"/>
            </w:tcBorders>
            <w:vAlign w:val="center"/>
          </w:tcPr>
          <w:p w14:paraId="6C8D200A" w14:textId="77777777" w:rsidR="009558B4" w:rsidRDefault="006B699F">
            <w:pPr>
              <w:spacing w:after="113"/>
            </w:pPr>
            <w:r>
              <w:rPr>
                <w:rFonts w:ascii="Times New Roman" w:eastAsia="Times New Roman" w:hAnsi="Times New Roman" w:cs="Times New Roman"/>
              </w:rPr>
              <w:t xml:space="preserve">Reserves </w:t>
            </w:r>
          </w:p>
          <w:p w14:paraId="7D13048F" w14:textId="77777777" w:rsidR="009558B4" w:rsidRDefault="006B699F">
            <w:pPr>
              <w:spacing w:after="120" w:line="252" w:lineRule="auto"/>
            </w:pPr>
            <w:r>
              <w:rPr>
                <w:rFonts w:ascii="Times New Roman" w:eastAsia="Times New Roman" w:hAnsi="Times New Roman" w:cs="Times New Roman"/>
              </w:rPr>
              <w:t xml:space="preserve">Reserves are unrestricted funds available for the corporation's purpose. They exclude equity in land and buildings, and funds designated for future spending. </w:t>
            </w:r>
          </w:p>
          <w:p w14:paraId="5DA2D590" w14:textId="77777777" w:rsidR="009558B4" w:rsidRDefault="006B699F">
            <w:pPr>
              <w:spacing w:after="127"/>
            </w:pPr>
            <w:r>
              <w:rPr>
                <w:rFonts w:ascii="Times New Roman" w:eastAsia="Times New Roman" w:hAnsi="Times New Roman" w:cs="Times New Roman"/>
              </w:rPr>
              <w:t xml:space="preserve">The board should ensure there is a reserves policy in place that: </w:t>
            </w:r>
          </w:p>
          <w:p w14:paraId="4AE7D9A4" w14:textId="77777777" w:rsidR="009558B4" w:rsidRDefault="006B699F">
            <w:pPr>
              <w:numPr>
                <w:ilvl w:val="0"/>
                <w:numId w:val="10"/>
              </w:numPr>
              <w:spacing w:after="127"/>
              <w:ind w:hanging="355"/>
            </w:pPr>
            <w:r>
              <w:rPr>
                <w:rFonts w:ascii="Times New Roman" w:eastAsia="Times New Roman" w:hAnsi="Times New Roman" w:cs="Times New Roman"/>
              </w:rPr>
              <w:t xml:space="preserve">justifies and explains keeping or not keeping reserves </w:t>
            </w:r>
          </w:p>
          <w:p w14:paraId="3B954ABC" w14:textId="77777777" w:rsidR="009558B4" w:rsidRDefault="006B699F">
            <w:pPr>
              <w:numPr>
                <w:ilvl w:val="0"/>
                <w:numId w:val="10"/>
              </w:numPr>
              <w:spacing w:after="110"/>
              <w:ind w:hanging="355"/>
            </w:pPr>
            <w:r>
              <w:rPr>
                <w:rFonts w:ascii="Times New Roman" w:eastAsia="Times New Roman" w:hAnsi="Times New Roman" w:cs="Times New Roman"/>
              </w:rPr>
              <w:t xml:space="preserve">identifies and plans for the continuation of essential education services for students </w:t>
            </w:r>
          </w:p>
          <w:p w14:paraId="6960E630" w14:textId="77777777" w:rsidR="009558B4" w:rsidRDefault="006B699F">
            <w:pPr>
              <w:numPr>
                <w:ilvl w:val="0"/>
                <w:numId w:val="10"/>
              </w:numPr>
              <w:spacing w:after="120" w:line="252" w:lineRule="auto"/>
              <w:ind w:hanging="355"/>
            </w:pPr>
            <w:r>
              <w:rPr>
                <w:rFonts w:ascii="Times New Roman" w:eastAsia="Times New Roman" w:hAnsi="Times New Roman" w:cs="Times New Roman"/>
              </w:rPr>
              <w:t xml:space="preserve">reflects the risk of an unplanned closure in relation to spending commitments and potential liabilities </w:t>
            </w:r>
          </w:p>
          <w:p w14:paraId="456B9BC0" w14:textId="77777777" w:rsidR="009558B4" w:rsidRDefault="006B699F">
            <w:pPr>
              <w:spacing w:after="113"/>
            </w:pPr>
            <w:r>
              <w:rPr>
                <w:rFonts w:ascii="Times New Roman" w:eastAsia="Times New Roman" w:hAnsi="Times New Roman" w:cs="Times New Roman"/>
              </w:rPr>
              <w:t xml:space="preserve">A reserves policy provides an indication of future funding needs and overall resilience. </w:t>
            </w:r>
          </w:p>
          <w:p w14:paraId="4C42E632" w14:textId="77777777" w:rsidR="009558B4" w:rsidRDefault="006B699F">
            <w:r>
              <w:rPr>
                <w:rFonts w:ascii="Times New Roman" w:eastAsia="Times New Roman" w:hAnsi="Times New Roman" w:cs="Times New Roman"/>
              </w:rPr>
              <w:t xml:space="preserve">The board should review the effectiveness of its reserves policy in the light of any changes in funding and the economy, together with emerging operational risks, to ensure sustainable delivery of the corporation's charitable purpose. </w:t>
            </w:r>
          </w:p>
        </w:tc>
        <w:tc>
          <w:tcPr>
            <w:tcW w:w="5023" w:type="dxa"/>
            <w:tcBorders>
              <w:top w:val="single" w:sz="4" w:space="0" w:color="000000"/>
              <w:left w:val="single" w:sz="4" w:space="0" w:color="000000"/>
              <w:bottom w:val="single" w:sz="4" w:space="0" w:color="000000"/>
              <w:right w:val="single" w:sz="4" w:space="0" w:color="000000"/>
            </w:tcBorders>
          </w:tcPr>
          <w:p w14:paraId="3D85F703" w14:textId="77777777" w:rsidR="009558B4" w:rsidRDefault="006B699F">
            <w:r>
              <w:rPr>
                <w:rFonts w:ascii="Times New Roman" w:eastAsia="Times New Roman" w:hAnsi="Times New Roman" w:cs="Times New Roman"/>
              </w:rPr>
              <w:t xml:space="preserve">The Reserves policy is set out in the financial statements. </w:t>
            </w:r>
          </w:p>
        </w:tc>
      </w:tr>
    </w:tbl>
    <w:p w14:paraId="66F3C5D6" w14:textId="77777777" w:rsidR="009558B4" w:rsidRDefault="009558B4">
      <w:pPr>
        <w:spacing w:after="0"/>
        <w:ind w:left="-1440" w:right="5"/>
      </w:pPr>
    </w:p>
    <w:tbl>
      <w:tblPr>
        <w:tblStyle w:val="TableGrid"/>
        <w:tblW w:w="13949" w:type="dxa"/>
        <w:tblInd w:w="5" w:type="dxa"/>
        <w:tblCellMar>
          <w:top w:w="168" w:type="dxa"/>
          <w:left w:w="108" w:type="dxa"/>
          <w:bottom w:w="6" w:type="dxa"/>
          <w:right w:w="115" w:type="dxa"/>
        </w:tblCellMar>
        <w:tblLook w:val="04A0" w:firstRow="1" w:lastRow="0" w:firstColumn="1" w:lastColumn="0" w:noHBand="0" w:noVBand="1"/>
      </w:tblPr>
      <w:tblGrid>
        <w:gridCol w:w="13"/>
        <w:gridCol w:w="8901"/>
        <w:gridCol w:w="13"/>
        <w:gridCol w:w="5005"/>
        <w:gridCol w:w="17"/>
      </w:tblGrid>
      <w:tr w:rsidR="009558B4" w14:paraId="735F12C6" w14:textId="77777777" w:rsidTr="00C3692F">
        <w:trPr>
          <w:gridBefore w:val="1"/>
          <w:wBefore w:w="13" w:type="dxa"/>
          <w:trHeight w:val="6190"/>
        </w:trPr>
        <w:tc>
          <w:tcPr>
            <w:tcW w:w="8917" w:type="dxa"/>
            <w:gridSpan w:val="2"/>
            <w:tcBorders>
              <w:top w:val="single" w:sz="4" w:space="0" w:color="000000"/>
              <w:left w:val="single" w:sz="4" w:space="0" w:color="000000"/>
              <w:bottom w:val="single" w:sz="4" w:space="0" w:color="000000"/>
              <w:right w:val="single" w:sz="4" w:space="0" w:color="000000"/>
            </w:tcBorders>
            <w:vAlign w:val="center"/>
          </w:tcPr>
          <w:p w14:paraId="30F99FA6" w14:textId="77777777" w:rsidR="009558B4" w:rsidRDefault="006B699F">
            <w:pPr>
              <w:spacing w:after="113"/>
            </w:pPr>
            <w:r>
              <w:rPr>
                <w:rFonts w:ascii="Times New Roman" w:eastAsia="Times New Roman" w:hAnsi="Times New Roman" w:cs="Times New Roman"/>
              </w:rPr>
              <w:t xml:space="preserve">Investments </w:t>
            </w:r>
          </w:p>
          <w:p w14:paraId="736E7546" w14:textId="77777777" w:rsidR="009558B4" w:rsidRDefault="006B699F">
            <w:pPr>
              <w:spacing w:after="120" w:line="252" w:lineRule="auto"/>
            </w:pPr>
            <w:r>
              <w:rPr>
                <w:rFonts w:ascii="Times New Roman" w:eastAsia="Times New Roman" w:hAnsi="Times New Roman" w:cs="Times New Roman"/>
              </w:rPr>
              <w:t xml:space="preserve">The corporation can invest to generate additional income, subject to any restrictions in its instrument and articles. </w:t>
            </w:r>
          </w:p>
          <w:p w14:paraId="6F95F3B1" w14:textId="77777777" w:rsidR="009558B4" w:rsidRDefault="006B699F">
            <w:pPr>
              <w:spacing w:after="120" w:line="252" w:lineRule="auto"/>
            </w:pPr>
            <w:r>
              <w:rPr>
                <w:rFonts w:ascii="Times New Roman" w:eastAsia="Times New Roman" w:hAnsi="Times New Roman" w:cs="Times New Roman"/>
              </w:rPr>
              <w:t xml:space="preserve">Investing must be in the best interests of the corporation. It must also be necessary or expedient for the corporation's provision of education. </w:t>
            </w:r>
          </w:p>
          <w:p w14:paraId="66B2B17A" w14:textId="77777777" w:rsidR="009558B4" w:rsidRDefault="006B699F">
            <w:pPr>
              <w:spacing w:after="125"/>
            </w:pPr>
            <w:r>
              <w:rPr>
                <w:rFonts w:ascii="Times New Roman" w:eastAsia="Times New Roman" w:hAnsi="Times New Roman" w:cs="Times New Roman"/>
              </w:rPr>
              <w:t xml:space="preserve">The board must: </w:t>
            </w:r>
          </w:p>
          <w:p w14:paraId="704F8FFA" w14:textId="77777777" w:rsidR="009558B4" w:rsidRDefault="006B699F">
            <w:pPr>
              <w:numPr>
                <w:ilvl w:val="0"/>
                <w:numId w:val="11"/>
              </w:numPr>
              <w:spacing w:after="127"/>
              <w:ind w:firstLine="358"/>
            </w:pPr>
            <w:r>
              <w:rPr>
                <w:rFonts w:ascii="Times New Roman" w:eastAsia="Times New Roman" w:hAnsi="Times New Roman" w:cs="Times New Roman"/>
              </w:rPr>
              <w:t xml:space="preserve">exercise care and skill when making investment decisions </w:t>
            </w:r>
          </w:p>
          <w:p w14:paraId="375350EC" w14:textId="77777777" w:rsidR="009558B4" w:rsidRDefault="006B699F">
            <w:pPr>
              <w:numPr>
                <w:ilvl w:val="0"/>
                <w:numId w:val="11"/>
              </w:numPr>
              <w:spacing w:after="127"/>
              <w:ind w:firstLine="358"/>
            </w:pPr>
            <w:r>
              <w:rPr>
                <w:rFonts w:ascii="Times New Roman" w:eastAsia="Times New Roman" w:hAnsi="Times New Roman" w:cs="Times New Roman"/>
              </w:rPr>
              <w:t xml:space="preserve">take expert advice on investments </w:t>
            </w:r>
          </w:p>
          <w:p w14:paraId="1254452E" w14:textId="77777777" w:rsidR="009558B4" w:rsidRDefault="006B699F">
            <w:pPr>
              <w:numPr>
                <w:ilvl w:val="0"/>
                <w:numId w:val="11"/>
              </w:numPr>
              <w:spacing w:after="127"/>
              <w:ind w:firstLine="358"/>
            </w:pPr>
            <w:r>
              <w:rPr>
                <w:rFonts w:ascii="Times New Roman" w:eastAsia="Times New Roman" w:hAnsi="Times New Roman" w:cs="Times New Roman"/>
              </w:rPr>
              <w:t xml:space="preserve">assess the suitability of investments </w:t>
            </w:r>
          </w:p>
          <w:p w14:paraId="45EEA836" w14:textId="77777777" w:rsidR="009558B4" w:rsidRDefault="006B699F">
            <w:pPr>
              <w:numPr>
                <w:ilvl w:val="0"/>
                <w:numId w:val="11"/>
              </w:numPr>
              <w:spacing w:after="127"/>
              <w:ind w:firstLine="358"/>
            </w:pPr>
            <w:r>
              <w:rPr>
                <w:rFonts w:ascii="Times New Roman" w:eastAsia="Times New Roman" w:hAnsi="Times New Roman" w:cs="Times New Roman"/>
              </w:rPr>
              <w:t xml:space="preserve">take into account the need to diversify investments </w:t>
            </w:r>
          </w:p>
          <w:p w14:paraId="6FB809CA" w14:textId="77777777" w:rsidR="009558B4" w:rsidRDefault="006B699F">
            <w:pPr>
              <w:numPr>
                <w:ilvl w:val="0"/>
                <w:numId w:val="11"/>
              </w:numPr>
              <w:spacing w:after="7" w:line="372" w:lineRule="auto"/>
              <w:ind w:firstLine="358"/>
            </w:pPr>
            <w:r>
              <w:rPr>
                <w:rFonts w:ascii="Times New Roman" w:eastAsia="Times New Roman" w:hAnsi="Times New Roman" w:cs="Times New Roman"/>
              </w:rPr>
              <w:t xml:space="preserve">review investments periodically and when circumstances have significantly changed • </w:t>
            </w:r>
            <w:r>
              <w:rPr>
                <w:rFonts w:ascii="Times New Roman" w:eastAsia="Times New Roman" w:hAnsi="Times New Roman" w:cs="Times New Roman"/>
              </w:rPr>
              <w:tab/>
              <w:t xml:space="preserve">be able to justify ethical investments The board should: </w:t>
            </w:r>
          </w:p>
          <w:p w14:paraId="025C72FD" w14:textId="77777777" w:rsidR="009558B4" w:rsidRDefault="006B699F">
            <w:pPr>
              <w:numPr>
                <w:ilvl w:val="0"/>
                <w:numId w:val="11"/>
              </w:numPr>
              <w:spacing w:after="127"/>
              <w:ind w:firstLine="358"/>
            </w:pPr>
            <w:r>
              <w:rPr>
                <w:rFonts w:ascii="Times New Roman" w:eastAsia="Times New Roman" w:hAnsi="Times New Roman" w:cs="Times New Roman"/>
              </w:rPr>
              <w:t xml:space="preserve">agree an overall investment policy and objectives for the corporation </w:t>
            </w:r>
          </w:p>
          <w:p w14:paraId="2FB3F6E7" w14:textId="77777777" w:rsidR="009558B4" w:rsidRDefault="006B699F">
            <w:pPr>
              <w:numPr>
                <w:ilvl w:val="0"/>
                <w:numId w:val="11"/>
              </w:numPr>
              <w:spacing w:after="127"/>
              <w:ind w:firstLine="358"/>
            </w:pPr>
            <w:r>
              <w:rPr>
                <w:rFonts w:ascii="Times New Roman" w:eastAsia="Times New Roman" w:hAnsi="Times New Roman" w:cs="Times New Roman"/>
              </w:rPr>
              <w:t xml:space="preserve">agree the balance between risk and return </w:t>
            </w:r>
          </w:p>
          <w:p w14:paraId="2613CF18" w14:textId="77777777" w:rsidR="009558B4" w:rsidRDefault="006B699F">
            <w:pPr>
              <w:numPr>
                <w:ilvl w:val="0"/>
                <w:numId w:val="11"/>
              </w:numPr>
              <w:ind w:firstLine="358"/>
            </w:pPr>
            <w:r>
              <w:rPr>
                <w:rFonts w:ascii="Times New Roman" w:eastAsia="Times New Roman" w:hAnsi="Times New Roman" w:cs="Times New Roman"/>
              </w:rPr>
              <w:t xml:space="preserve">be aware that some investments may have tax implications </w:t>
            </w:r>
          </w:p>
        </w:tc>
        <w:tc>
          <w:tcPr>
            <w:tcW w:w="5019" w:type="dxa"/>
            <w:gridSpan w:val="2"/>
            <w:tcBorders>
              <w:top w:val="single" w:sz="4" w:space="0" w:color="000000"/>
              <w:left w:val="single" w:sz="4" w:space="0" w:color="000000"/>
              <w:bottom w:val="single" w:sz="4" w:space="0" w:color="000000"/>
              <w:right w:val="single" w:sz="4" w:space="0" w:color="000000"/>
            </w:tcBorders>
          </w:tcPr>
          <w:p w14:paraId="60FC87A9" w14:textId="77777777" w:rsidR="009558B4" w:rsidRDefault="006B699F">
            <w:pPr>
              <w:spacing w:after="113"/>
            </w:pPr>
            <w:r>
              <w:rPr>
                <w:rFonts w:ascii="Times New Roman" w:eastAsia="Times New Roman" w:hAnsi="Times New Roman" w:cs="Times New Roman"/>
              </w:rPr>
              <w:t xml:space="preserve">Financial Regulations </w:t>
            </w:r>
          </w:p>
          <w:p w14:paraId="52ED4439" w14:textId="77777777" w:rsidR="009558B4" w:rsidRDefault="006B699F">
            <w:r>
              <w:rPr>
                <w:rFonts w:ascii="Times New Roman" w:eastAsia="Times New Roman" w:hAnsi="Times New Roman" w:cs="Times New Roman"/>
              </w:rPr>
              <w:t xml:space="preserve">There is a treasury policy that sets out how the College invests its surplus cash funds. </w:t>
            </w:r>
          </w:p>
        </w:tc>
      </w:tr>
      <w:tr w:rsidR="009558B4" w14:paraId="038C9DBB" w14:textId="77777777" w:rsidTr="00C3692F">
        <w:trPr>
          <w:gridBefore w:val="1"/>
          <w:wBefore w:w="13" w:type="dxa"/>
          <w:trHeight w:val="2251"/>
        </w:trPr>
        <w:tc>
          <w:tcPr>
            <w:tcW w:w="8917" w:type="dxa"/>
            <w:gridSpan w:val="2"/>
            <w:tcBorders>
              <w:top w:val="single" w:sz="4" w:space="0" w:color="000000"/>
              <w:left w:val="single" w:sz="4" w:space="0" w:color="000000"/>
              <w:bottom w:val="single" w:sz="4" w:space="0" w:color="000000"/>
              <w:right w:val="single" w:sz="4" w:space="0" w:color="000000"/>
            </w:tcBorders>
            <w:vAlign w:val="center"/>
          </w:tcPr>
          <w:p w14:paraId="21602E7E" w14:textId="77777777" w:rsidR="009558B4" w:rsidRDefault="006B699F">
            <w:pPr>
              <w:spacing w:after="113"/>
            </w:pPr>
            <w:r>
              <w:rPr>
                <w:rFonts w:ascii="Times New Roman" w:eastAsia="Times New Roman" w:hAnsi="Times New Roman" w:cs="Times New Roman"/>
              </w:rPr>
              <w:t xml:space="preserve">Trading </w:t>
            </w:r>
          </w:p>
          <w:p w14:paraId="01E4554B" w14:textId="77777777" w:rsidR="009558B4" w:rsidRDefault="006B699F">
            <w:pPr>
              <w:spacing w:after="120" w:line="252" w:lineRule="auto"/>
            </w:pPr>
            <w:r>
              <w:rPr>
                <w:rFonts w:ascii="Times New Roman" w:eastAsia="Times New Roman" w:hAnsi="Times New Roman" w:cs="Times New Roman"/>
              </w:rPr>
              <w:t xml:space="preserve">As a charity, the corporation can lawfully engage in trading. Trading must be necessary or expedient for the corporation's provision of education. </w:t>
            </w:r>
          </w:p>
          <w:p w14:paraId="2FA8D698" w14:textId="77777777" w:rsidR="009558B4" w:rsidRDefault="006B699F">
            <w:pPr>
              <w:spacing w:after="120" w:line="252" w:lineRule="auto"/>
            </w:pPr>
            <w:r>
              <w:rPr>
                <w:rFonts w:ascii="Times New Roman" w:eastAsia="Times New Roman" w:hAnsi="Times New Roman" w:cs="Times New Roman"/>
              </w:rPr>
              <w:t xml:space="preserve">There is preferential tax treatment for charities, and the board should ensure trading is structured in a tax efficient way. </w:t>
            </w:r>
          </w:p>
          <w:p w14:paraId="7B3D4F79" w14:textId="77777777" w:rsidR="009558B4" w:rsidRDefault="006B699F">
            <w:r>
              <w:rPr>
                <w:rFonts w:ascii="Times New Roman" w:eastAsia="Times New Roman" w:hAnsi="Times New Roman" w:cs="Times New Roman"/>
              </w:rPr>
              <w:t xml:space="preserve">There are three types of trading: </w:t>
            </w:r>
          </w:p>
        </w:tc>
        <w:tc>
          <w:tcPr>
            <w:tcW w:w="5019" w:type="dxa"/>
            <w:gridSpan w:val="2"/>
            <w:tcBorders>
              <w:top w:val="single" w:sz="4" w:space="0" w:color="000000"/>
              <w:left w:val="single" w:sz="4" w:space="0" w:color="000000"/>
              <w:bottom w:val="single" w:sz="4" w:space="0" w:color="000000"/>
              <w:right w:val="single" w:sz="4" w:space="0" w:color="000000"/>
            </w:tcBorders>
            <w:vAlign w:val="bottom"/>
          </w:tcPr>
          <w:p w14:paraId="7A1EC605" w14:textId="77777777" w:rsidR="009558B4" w:rsidRDefault="006B699F">
            <w:pPr>
              <w:spacing w:after="135" w:line="252" w:lineRule="auto"/>
            </w:pPr>
            <w:r>
              <w:rPr>
                <w:rFonts w:ascii="Times New Roman" w:eastAsia="Times New Roman" w:hAnsi="Times New Roman" w:cs="Times New Roman"/>
              </w:rPr>
              <w:t xml:space="preserve">The College undertakes little by way of non-primary purpose trading. The main categories are: </w:t>
            </w:r>
          </w:p>
          <w:p w14:paraId="099FB1C5" w14:textId="77777777" w:rsidR="009558B4" w:rsidRDefault="006B699F">
            <w:pPr>
              <w:numPr>
                <w:ilvl w:val="0"/>
                <w:numId w:val="12"/>
              </w:numPr>
              <w:spacing w:after="7"/>
              <w:ind w:hanging="360"/>
            </w:pPr>
            <w:r>
              <w:rPr>
                <w:rFonts w:ascii="Times New Roman" w:eastAsia="Times New Roman" w:hAnsi="Times New Roman" w:cs="Times New Roman"/>
              </w:rPr>
              <w:t xml:space="preserve">periodic hire of car parking (rare) </w:t>
            </w:r>
          </w:p>
          <w:p w14:paraId="4E738119" w14:textId="77777777" w:rsidR="009558B4" w:rsidRDefault="006B699F">
            <w:pPr>
              <w:numPr>
                <w:ilvl w:val="0"/>
                <w:numId w:val="12"/>
              </w:numPr>
              <w:spacing w:after="113"/>
              <w:ind w:hanging="360"/>
            </w:pPr>
            <w:r>
              <w:rPr>
                <w:rFonts w:ascii="Times New Roman" w:eastAsia="Times New Roman" w:hAnsi="Times New Roman" w:cs="Times New Roman"/>
              </w:rPr>
              <w:t xml:space="preserve">rent from the siting of mobile masts </w:t>
            </w:r>
          </w:p>
          <w:p w14:paraId="402C6E34" w14:textId="77777777" w:rsidR="009558B4" w:rsidRDefault="006B699F">
            <w:r>
              <w:rPr>
                <w:rFonts w:ascii="Times New Roman" w:eastAsia="Times New Roman" w:hAnsi="Times New Roman" w:cs="Times New Roman"/>
              </w:rPr>
              <w:t xml:space="preserve">The hire of premises is almost exclusively for educational or community charitable activities (eg Hackney Empire, Hackney Shed). </w:t>
            </w:r>
          </w:p>
        </w:tc>
      </w:tr>
      <w:tr w:rsidR="009558B4" w14:paraId="609CFBE4" w14:textId="77777777" w:rsidTr="00C3692F">
        <w:tblPrEx>
          <w:tblCellMar>
            <w:right w:w="140" w:type="dxa"/>
          </w:tblCellMar>
        </w:tblPrEx>
        <w:trPr>
          <w:gridAfter w:val="1"/>
          <w:wAfter w:w="13" w:type="dxa"/>
          <w:trHeight w:val="8525"/>
        </w:trPr>
        <w:tc>
          <w:tcPr>
            <w:tcW w:w="8917" w:type="dxa"/>
            <w:gridSpan w:val="2"/>
            <w:tcBorders>
              <w:top w:val="single" w:sz="4" w:space="0" w:color="000000"/>
              <w:left w:val="single" w:sz="4" w:space="0" w:color="000000"/>
              <w:bottom w:val="single" w:sz="4" w:space="0" w:color="000000"/>
              <w:right w:val="single" w:sz="4" w:space="0" w:color="000000"/>
            </w:tcBorders>
            <w:vAlign w:val="bottom"/>
          </w:tcPr>
          <w:p w14:paraId="40FBA453" w14:textId="77777777" w:rsidR="009558B4" w:rsidRDefault="006B699F">
            <w:pPr>
              <w:numPr>
                <w:ilvl w:val="0"/>
                <w:numId w:val="13"/>
              </w:numPr>
              <w:spacing w:after="120" w:line="252" w:lineRule="auto"/>
              <w:ind w:hanging="355"/>
            </w:pPr>
            <w:r>
              <w:rPr>
                <w:rFonts w:ascii="Times New Roman" w:eastAsia="Times New Roman" w:hAnsi="Times New Roman" w:cs="Times New Roman"/>
              </w:rPr>
              <w:t xml:space="preserve">Primary purpose: trading to directly further the corporation's primary purpose. This includes the provision of educational services in return for course fees. </w:t>
            </w:r>
          </w:p>
          <w:p w14:paraId="10DBE15E" w14:textId="77777777" w:rsidR="009558B4" w:rsidRDefault="006B699F">
            <w:pPr>
              <w:numPr>
                <w:ilvl w:val="0"/>
                <w:numId w:val="13"/>
              </w:numPr>
              <w:spacing w:after="120" w:line="252" w:lineRule="auto"/>
              <w:ind w:hanging="355"/>
            </w:pPr>
            <w:r>
              <w:rPr>
                <w:rFonts w:ascii="Times New Roman" w:eastAsia="Times New Roman" w:hAnsi="Times New Roman" w:cs="Times New Roman"/>
              </w:rPr>
              <w:t xml:space="preserve">Ancillary: trading that contributes indirectly to the corporation's primary purpose, but is treated as primary purpose trading for tax purposes. This includes the sale of textbooks to students and the provision of a creche for a fee. </w:t>
            </w:r>
          </w:p>
          <w:p w14:paraId="5E618520" w14:textId="77777777" w:rsidR="009558B4" w:rsidRDefault="006B699F">
            <w:pPr>
              <w:numPr>
                <w:ilvl w:val="0"/>
                <w:numId w:val="13"/>
              </w:numPr>
              <w:spacing w:after="121" w:line="251" w:lineRule="auto"/>
              <w:ind w:hanging="355"/>
            </w:pPr>
            <w:r>
              <w:rPr>
                <w:rFonts w:ascii="Times New Roman" w:eastAsia="Times New Roman" w:hAnsi="Times New Roman" w:cs="Times New Roman"/>
              </w:rPr>
              <w:t xml:space="preserve">Non-primary purpose: trading that does not directly further the corporation's charitable purpose and is carried out to raise funds. If such trading exceeds the relevant HMIT threshold and/or poses a significant risk to the corporation's assets, it must be undertaken by a trading subsidiary. </w:t>
            </w:r>
          </w:p>
          <w:p w14:paraId="5E3CFC62" w14:textId="77777777" w:rsidR="009558B4" w:rsidRDefault="006B699F">
            <w:pPr>
              <w:spacing w:after="113"/>
            </w:pPr>
            <w:r>
              <w:rPr>
                <w:rFonts w:ascii="Times New Roman" w:eastAsia="Times New Roman" w:hAnsi="Times New Roman" w:cs="Times New Roman"/>
              </w:rPr>
              <w:t xml:space="preserve">The corporation must follow certain rules when using charitable funds for trading. </w:t>
            </w:r>
          </w:p>
          <w:p w14:paraId="64AB1AAF" w14:textId="77777777" w:rsidR="009558B4" w:rsidRDefault="006B699F">
            <w:pPr>
              <w:spacing w:after="113"/>
            </w:pPr>
            <w:r>
              <w:rPr>
                <w:rFonts w:ascii="Times New Roman" w:eastAsia="Times New Roman" w:hAnsi="Times New Roman" w:cs="Times New Roman"/>
              </w:rPr>
              <w:t xml:space="preserve">Primary purpose and ancillary trading </w:t>
            </w:r>
          </w:p>
          <w:p w14:paraId="132B98AC" w14:textId="77777777" w:rsidR="009558B4" w:rsidRDefault="006B699F">
            <w:pPr>
              <w:spacing w:after="120" w:line="252" w:lineRule="auto"/>
            </w:pPr>
            <w:r>
              <w:rPr>
                <w:rFonts w:ascii="Times New Roman" w:eastAsia="Times New Roman" w:hAnsi="Times New Roman" w:cs="Times New Roman"/>
              </w:rPr>
              <w:t xml:space="preserve">The corporation's funds must only be used for the purpose for which they were given or generated. </w:t>
            </w:r>
          </w:p>
          <w:p w14:paraId="0A8CC3F2" w14:textId="77777777" w:rsidR="009558B4" w:rsidRDefault="006B699F">
            <w:pPr>
              <w:spacing w:after="120" w:line="252" w:lineRule="auto"/>
              <w:jc w:val="both"/>
            </w:pPr>
            <w:r>
              <w:rPr>
                <w:rFonts w:ascii="Times New Roman" w:eastAsia="Times New Roman" w:hAnsi="Times New Roman" w:cs="Times New Roman"/>
              </w:rPr>
              <w:t xml:space="preserve">Example: ESFA funding for a college in England cannot be used for the delivery of further education overseas </w:t>
            </w:r>
          </w:p>
          <w:p w14:paraId="5545DD00" w14:textId="77777777" w:rsidR="009558B4" w:rsidRDefault="006B699F">
            <w:pPr>
              <w:spacing w:after="110"/>
            </w:pPr>
            <w:r>
              <w:rPr>
                <w:rFonts w:ascii="Times New Roman" w:eastAsia="Times New Roman" w:hAnsi="Times New Roman" w:cs="Times New Roman"/>
              </w:rPr>
              <w:t xml:space="preserve">Non-primary purpose trading </w:t>
            </w:r>
          </w:p>
          <w:p w14:paraId="743C2AC7" w14:textId="77777777" w:rsidR="009558B4" w:rsidRDefault="006B699F">
            <w:pPr>
              <w:spacing w:after="127"/>
            </w:pPr>
            <w:r>
              <w:rPr>
                <w:rFonts w:ascii="Times New Roman" w:eastAsia="Times New Roman" w:hAnsi="Times New Roman" w:cs="Times New Roman"/>
              </w:rPr>
              <w:t xml:space="preserve">When considering investing in a trading subsidiary, the board must: </w:t>
            </w:r>
          </w:p>
          <w:p w14:paraId="43421612" w14:textId="77777777" w:rsidR="009558B4" w:rsidRDefault="006B699F">
            <w:pPr>
              <w:numPr>
                <w:ilvl w:val="0"/>
                <w:numId w:val="14"/>
              </w:numPr>
              <w:spacing w:after="127"/>
              <w:ind w:hanging="355"/>
            </w:pPr>
            <w:r>
              <w:rPr>
                <w:rFonts w:ascii="Times New Roman" w:eastAsia="Times New Roman" w:hAnsi="Times New Roman" w:cs="Times New Roman"/>
              </w:rPr>
              <w:t xml:space="preserve">take professional advice </w:t>
            </w:r>
          </w:p>
          <w:p w14:paraId="59557B17" w14:textId="77777777" w:rsidR="009558B4" w:rsidRDefault="006B699F">
            <w:pPr>
              <w:numPr>
                <w:ilvl w:val="0"/>
                <w:numId w:val="14"/>
              </w:numPr>
              <w:spacing w:after="127"/>
              <w:ind w:hanging="355"/>
            </w:pPr>
            <w:r>
              <w:rPr>
                <w:rFonts w:ascii="Times New Roman" w:eastAsia="Times New Roman" w:hAnsi="Times New Roman" w:cs="Times New Roman"/>
              </w:rPr>
              <w:t xml:space="preserve">ensure the investment is consistent with the corporation's investment policy </w:t>
            </w:r>
          </w:p>
          <w:p w14:paraId="3F60174B" w14:textId="77777777" w:rsidR="009558B4" w:rsidRDefault="006B699F">
            <w:pPr>
              <w:numPr>
                <w:ilvl w:val="0"/>
                <w:numId w:val="14"/>
              </w:numPr>
              <w:spacing w:after="135" w:line="252" w:lineRule="auto"/>
              <w:ind w:hanging="355"/>
            </w:pPr>
            <w:r>
              <w:rPr>
                <w:rFonts w:ascii="Times New Roman" w:eastAsia="Times New Roman" w:hAnsi="Times New Roman" w:cs="Times New Roman"/>
              </w:rPr>
              <w:t xml:space="preserve">compare other forms of investment and make an objective assessment as to whether this investment would be in the corporation's interests </w:t>
            </w:r>
          </w:p>
          <w:p w14:paraId="646A6E56" w14:textId="77777777" w:rsidR="009558B4" w:rsidRDefault="006B699F">
            <w:pPr>
              <w:numPr>
                <w:ilvl w:val="0"/>
                <w:numId w:val="14"/>
              </w:numPr>
              <w:spacing w:line="379" w:lineRule="auto"/>
              <w:ind w:hanging="355"/>
            </w:pPr>
            <w:r>
              <w:rPr>
                <w:rFonts w:ascii="Times New Roman" w:eastAsia="Times New Roman" w:hAnsi="Times New Roman" w:cs="Times New Roman"/>
              </w:rPr>
              <w:t xml:space="preserve">consider if independent funding could be provided instead of funding by the corporation • </w:t>
            </w:r>
            <w:r>
              <w:rPr>
                <w:rFonts w:ascii="Times New Roman" w:eastAsia="Times New Roman" w:hAnsi="Times New Roman" w:cs="Times New Roman"/>
              </w:rPr>
              <w:tab/>
              <w:t xml:space="preserve">be satisfied with the viability of the subsidiary </w:t>
            </w:r>
          </w:p>
          <w:p w14:paraId="6217CE21" w14:textId="77777777" w:rsidR="009558B4" w:rsidRDefault="006B699F">
            <w:r>
              <w:rPr>
                <w:rFonts w:ascii="Times New Roman" w:eastAsia="Times New Roman" w:hAnsi="Times New Roman" w:cs="Times New Roman"/>
              </w:rPr>
              <w:t xml:space="preserve">The corporation can provide money for the start-up of a trading subsidiary. This is different from the corporation's money being used for primary purpose trading. </w:t>
            </w:r>
          </w:p>
        </w:tc>
        <w:tc>
          <w:tcPr>
            <w:tcW w:w="5019" w:type="dxa"/>
            <w:gridSpan w:val="2"/>
            <w:tcBorders>
              <w:top w:val="single" w:sz="4" w:space="0" w:color="000000"/>
              <w:left w:val="single" w:sz="4" w:space="0" w:color="000000"/>
              <w:bottom w:val="single" w:sz="4" w:space="0" w:color="000000"/>
              <w:right w:val="single" w:sz="4" w:space="0" w:color="000000"/>
            </w:tcBorders>
          </w:tcPr>
          <w:p w14:paraId="464BAF9D" w14:textId="77777777" w:rsidR="009558B4" w:rsidRDefault="006B699F">
            <w:r>
              <w:rPr>
                <w:rFonts w:ascii="Times New Roman" w:eastAsia="Times New Roman" w:hAnsi="Times New Roman" w:cs="Times New Roman"/>
              </w:rPr>
              <w:t xml:space="preserve">The College has no trading subsidiaries. </w:t>
            </w:r>
          </w:p>
        </w:tc>
      </w:tr>
      <w:tr w:rsidR="009558B4" w14:paraId="1ABA1CEF" w14:textId="77777777" w:rsidTr="00C3692F">
        <w:tblPrEx>
          <w:tblCellMar>
            <w:top w:w="0" w:type="dxa"/>
            <w:right w:w="63" w:type="dxa"/>
          </w:tblCellMar>
        </w:tblPrEx>
        <w:trPr>
          <w:trHeight w:val="6581"/>
        </w:trPr>
        <w:tc>
          <w:tcPr>
            <w:tcW w:w="8926" w:type="dxa"/>
            <w:gridSpan w:val="3"/>
            <w:tcBorders>
              <w:top w:val="single" w:sz="4" w:space="0" w:color="000000"/>
              <w:left w:val="single" w:sz="4" w:space="0" w:color="000000"/>
              <w:bottom w:val="single" w:sz="4" w:space="0" w:color="000000"/>
              <w:right w:val="single" w:sz="4" w:space="0" w:color="000000"/>
            </w:tcBorders>
            <w:vAlign w:val="bottom"/>
          </w:tcPr>
          <w:p w14:paraId="7CAAAA0C" w14:textId="77777777" w:rsidR="009558B4" w:rsidRDefault="006B699F">
            <w:pPr>
              <w:spacing w:after="120" w:line="252" w:lineRule="auto"/>
            </w:pPr>
            <w:r>
              <w:rPr>
                <w:rFonts w:ascii="Times New Roman" w:eastAsia="Times New Roman" w:hAnsi="Times New Roman" w:cs="Times New Roman"/>
              </w:rPr>
              <w:t xml:space="preserve">Funding a trading subsidiary is an investment of funds for profit, with returns being passed to the corporation, usually via Gift Aid. </w:t>
            </w:r>
          </w:p>
          <w:p w14:paraId="3A4A84AC" w14:textId="77777777" w:rsidR="009558B4" w:rsidRDefault="006B699F">
            <w:pPr>
              <w:spacing w:after="120" w:line="252" w:lineRule="auto"/>
            </w:pPr>
            <w:r>
              <w:rPr>
                <w:rFonts w:ascii="Times New Roman" w:eastAsia="Times New Roman" w:hAnsi="Times New Roman" w:cs="Times New Roman"/>
              </w:rPr>
              <w:t xml:space="preserve">Where a trading subsidiary needs more than a nominal subscription of share capital to operate effectively, the corporation may only provide this if the payment can be justified as a suitable investment. </w:t>
            </w:r>
          </w:p>
          <w:p w14:paraId="57D098AB" w14:textId="77777777" w:rsidR="009558B4" w:rsidRDefault="006B699F">
            <w:pPr>
              <w:spacing w:after="125"/>
            </w:pPr>
            <w:r>
              <w:rPr>
                <w:rFonts w:ascii="Times New Roman" w:eastAsia="Times New Roman" w:hAnsi="Times New Roman" w:cs="Times New Roman"/>
              </w:rPr>
              <w:t xml:space="preserve">These key principles apply to the relationship between the corporation and a trading subsidiary: </w:t>
            </w:r>
          </w:p>
          <w:p w14:paraId="787DBE52" w14:textId="77777777" w:rsidR="009558B4" w:rsidRDefault="006B699F">
            <w:pPr>
              <w:numPr>
                <w:ilvl w:val="0"/>
                <w:numId w:val="15"/>
              </w:numPr>
              <w:spacing w:after="127"/>
              <w:ind w:hanging="355"/>
            </w:pPr>
            <w:r>
              <w:rPr>
                <w:rFonts w:ascii="Times New Roman" w:eastAsia="Times New Roman" w:hAnsi="Times New Roman" w:cs="Times New Roman"/>
              </w:rPr>
              <w:t xml:space="preserve">the board must always put the interests of the corporation before those of the subsidiary </w:t>
            </w:r>
          </w:p>
          <w:p w14:paraId="0AFB46B4" w14:textId="77777777" w:rsidR="009558B4" w:rsidRDefault="006B699F">
            <w:pPr>
              <w:numPr>
                <w:ilvl w:val="0"/>
                <w:numId w:val="15"/>
              </w:numPr>
              <w:spacing w:after="135" w:line="252" w:lineRule="auto"/>
              <w:ind w:hanging="355"/>
            </w:pPr>
            <w:r>
              <w:rPr>
                <w:rFonts w:ascii="Times New Roman" w:eastAsia="Times New Roman" w:hAnsi="Times New Roman" w:cs="Times New Roman"/>
              </w:rPr>
              <w:t xml:space="preserve">the corporation's assets must not be used (other than as a suitable investment), or be put at risk, for the benefit of the subsidiary </w:t>
            </w:r>
          </w:p>
          <w:p w14:paraId="64D4250E" w14:textId="77777777" w:rsidR="009558B4" w:rsidRDefault="006B699F">
            <w:pPr>
              <w:numPr>
                <w:ilvl w:val="0"/>
                <w:numId w:val="15"/>
              </w:numPr>
              <w:spacing w:after="135" w:line="252" w:lineRule="auto"/>
              <w:ind w:hanging="355"/>
            </w:pPr>
            <w:r>
              <w:rPr>
                <w:rFonts w:ascii="Times New Roman" w:eastAsia="Times New Roman" w:hAnsi="Times New Roman" w:cs="Times New Roman"/>
              </w:rPr>
              <w:t xml:space="preserve">if the subsidiary uses the corporation's staff, land, buildings or equipment, this must be on a proper contractual basis at commercial rates </w:t>
            </w:r>
          </w:p>
          <w:p w14:paraId="399E76BC" w14:textId="77777777" w:rsidR="009558B4" w:rsidRDefault="006B699F">
            <w:pPr>
              <w:numPr>
                <w:ilvl w:val="0"/>
                <w:numId w:val="15"/>
              </w:numPr>
              <w:spacing w:after="135" w:line="252" w:lineRule="auto"/>
              <w:ind w:hanging="355"/>
            </w:pPr>
            <w:r>
              <w:rPr>
                <w:rFonts w:ascii="Times New Roman" w:eastAsia="Times New Roman" w:hAnsi="Times New Roman" w:cs="Times New Roman"/>
              </w:rPr>
              <w:t xml:space="preserve">the subsidiary can only use the corporation's land and buildings if that use is permitted by the terms under which the corporation occupies the land - for example, consent might be required from the freeholder if the college site is leased </w:t>
            </w:r>
          </w:p>
          <w:p w14:paraId="0F3DCC50" w14:textId="77777777" w:rsidR="009558B4" w:rsidRDefault="006B699F">
            <w:pPr>
              <w:numPr>
                <w:ilvl w:val="0"/>
                <w:numId w:val="15"/>
              </w:numPr>
              <w:spacing w:after="132" w:line="252" w:lineRule="auto"/>
              <w:ind w:hanging="355"/>
            </w:pPr>
            <w:r>
              <w:rPr>
                <w:rFonts w:ascii="Times New Roman" w:eastAsia="Times New Roman" w:hAnsi="Times New Roman" w:cs="Times New Roman"/>
              </w:rPr>
              <w:t xml:space="preserve">governors cannot cannot be paid as a director or employee of the subsidiary, unless the Charity Commission approves this </w:t>
            </w:r>
          </w:p>
          <w:p w14:paraId="50D3CD83" w14:textId="77777777" w:rsidR="009558B4" w:rsidRDefault="006B699F">
            <w:pPr>
              <w:numPr>
                <w:ilvl w:val="0"/>
                <w:numId w:val="15"/>
              </w:numPr>
              <w:spacing w:after="120" w:line="252" w:lineRule="auto"/>
              <w:ind w:hanging="355"/>
            </w:pPr>
            <w:r>
              <w:rPr>
                <w:rFonts w:ascii="Times New Roman" w:eastAsia="Times New Roman" w:hAnsi="Times New Roman" w:cs="Times New Roman"/>
              </w:rPr>
              <w:t xml:space="preserve">the board must monitor the performance of the subsidiary and the corporation's investment in it, to ensure that the investment remains a good use of funds </w:t>
            </w:r>
          </w:p>
          <w:p w14:paraId="687FFA1F" w14:textId="77777777" w:rsidR="009558B4" w:rsidRDefault="006B699F">
            <w:r>
              <w:rPr>
                <w:rFonts w:ascii="Times New Roman" w:eastAsia="Times New Roman" w:hAnsi="Times New Roman" w:cs="Times New Roman"/>
              </w:rPr>
              <w:t xml:space="preserve">Individual governors may be personally liable for any financial loss to the corporation if the board does not observe these principles. </w:t>
            </w:r>
          </w:p>
        </w:tc>
        <w:tc>
          <w:tcPr>
            <w:tcW w:w="5023" w:type="dxa"/>
            <w:gridSpan w:val="2"/>
            <w:tcBorders>
              <w:top w:val="single" w:sz="4" w:space="0" w:color="000000"/>
              <w:left w:val="single" w:sz="4" w:space="0" w:color="000000"/>
              <w:bottom w:val="single" w:sz="4" w:space="0" w:color="000000"/>
              <w:right w:val="single" w:sz="4" w:space="0" w:color="000000"/>
            </w:tcBorders>
          </w:tcPr>
          <w:p w14:paraId="10AB67CF" w14:textId="77777777" w:rsidR="009558B4" w:rsidRDefault="009558B4"/>
        </w:tc>
      </w:tr>
    </w:tbl>
    <w:p w14:paraId="70F4C128" w14:textId="77777777" w:rsidR="009558B4" w:rsidRDefault="009558B4">
      <w:pPr>
        <w:spacing w:after="0"/>
        <w:ind w:left="-1440" w:right="5"/>
      </w:pPr>
    </w:p>
    <w:tbl>
      <w:tblPr>
        <w:tblStyle w:val="TableGrid"/>
        <w:tblW w:w="13949" w:type="dxa"/>
        <w:tblInd w:w="5" w:type="dxa"/>
        <w:tblCellMar>
          <w:top w:w="168" w:type="dxa"/>
          <w:left w:w="108" w:type="dxa"/>
          <w:bottom w:w="6" w:type="dxa"/>
          <w:right w:w="71" w:type="dxa"/>
        </w:tblCellMar>
        <w:tblLook w:val="04A0" w:firstRow="1" w:lastRow="0" w:firstColumn="1" w:lastColumn="0" w:noHBand="0" w:noVBand="1"/>
      </w:tblPr>
      <w:tblGrid>
        <w:gridCol w:w="8926"/>
        <w:gridCol w:w="5023"/>
      </w:tblGrid>
      <w:tr w:rsidR="009558B4" w14:paraId="63BB5C91" w14:textId="77777777" w:rsidTr="008F3B2E">
        <w:trPr>
          <w:trHeight w:val="3864"/>
        </w:trPr>
        <w:tc>
          <w:tcPr>
            <w:tcW w:w="8926" w:type="dxa"/>
            <w:tcBorders>
              <w:top w:val="single" w:sz="4" w:space="0" w:color="000000"/>
              <w:left w:val="single" w:sz="4" w:space="0" w:color="000000"/>
              <w:bottom w:val="single" w:sz="4" w:space="0" w:color="000000"/>
              <w:right w:val="single" w:sz="4" w:space="0" w:color="000000"/>
            </w:tcBorders>
          </w:tcPr>
          <w:p w14:paraId="78A30E8B" w14:textId="77777777" w:rsidR="009558B4" w:rsidRDefault="006B699F">
            <w:pPr>
              <w:spacing w:after="113"/>
            </w:pPr>
            <w:r>
              <w:rPr>
                <w:rFonts w:ascii="Times New Roman" w:eastAsia="Times New Roman" w:hAnsi="Times New Roman" w:cs="Times New Roman"/>
              </w:rPr>
              <w:t xml:space="preserve">Regularity framework </w:t>
            </w:r>
          </w:p>
          <w:p w14:paraId="2271E3CF" w14:textId="77777777" w:rsidR="009558B4" w:rsidRDefault="006B699F">
            <w:pPr>
              <w:spacing w:after="120" w:line="252" w:lineRule="auto"/>
            </w:pPr>
            <w:r>
              <w:rPr>
                <w:rFonts w:ascii="Times New Roman" w:eastAsia="Times New Roman" w:hAnsi="Times New Roman" w:cs="Times New Roman"/>
              </w:rPr>
              <w:t xml:space="preserve">The board is accountable for how it spends public funds, and how it meets the terms and conditions on which funding was provided. </w:t>
            </w:r>
          </w:p>
          <w:p w14:paraId="063D32AD" w14:textId="77777777" w:rsidR="009558B4" w:rsidRDefault="006B699F">
            <w:pPr>
              <w:spacing w:after="118" w:line="252" w:lineRule="auto"/>
            </w:pPr>
            <w:r>
              <w:rPr>
                <w:rFonts w:ascii="Times New Roman" w:eastAsia="Times New Roman" w:hAnsi="Times New Roman" w:cs="Times New Roman"/>
              </w:rPr>
              <w:t xml:space="preserve">Under the SEA's Post-16 audit code of practice the board must commission a regularity audit, carried out by independent auditors, to provide assurance on regularity and propriety regarding the use of public funds. </w:t>
            </w:r>
          </w:p>
          <w:p w14:paraId="74CDCC58" w14:textId="77777777" w:rsidR="009558B4" w:rsidRDefault="006B699F">
            <w:pPr>
              <w:spacing w:after="120" w:line="252" w:lineRule="auto"/>
            </w:pPr>
            <w:r>
              <w:rPr>
                <w:rFonts w:ascii="Times New Roman" w:eastAsia="Times New Roman" w:hAnsi="Times New Roman" w:cs="Times New Roman"/>
              </w:rPr>
              <w:t xml:space="preserve">The board must publish a statement of regularity, propriety and compliance in its annual accounts, identifying spending that has fallen short of accepted standards. </w:t>
            </w:r>
          </w:p>
          <w:p w14:paraId="16254056" w14:textId="77777777" w:rsidR="009558B4" w:rsidRDefault="006B699F">
            <w:r>
              <w:rPr>
                <w:rFonts w:ascii="Times New Roman" w:eastAsia="Times New Roman" w:hAnsi="Times New Roman" w:cs="Times New Roman"/>
              </w:rPr>
              <w:t xml:space="preserve">The board must demonstrate how it has used funding by publishing audited financial statements on its college website and making its accounts available to anyone who reasonably requests a copy. </w:t>
            </w:r>
          </w:p>
        </w:tc>
        <w:tc>
          <w:tcPr>
            <w:tcW w:w="5023" w:type="dxa"/>
            <w:tcBorders>
              <w:top w:val="single" w:sz="4" w:space="0" w:color="000000"/>
              <w:left w:val="single" w:sz="4" w:space="0" w:color="000000"/>
              <w:bottom w:val="single" w:sz="4" w:space="0" w:color="000000"/>
              <w:right w:val="single" w:sz="4" w:space="0" w:color="000000"/>
            </w:tcBorders>
          </w:tcPr>
          <w:p w14:paraId="2E21DA2B" w14:textId="77777777" w:rsidR="009558B4" w:rsidRDefault="006B699F">
            <w:r>
              <w:rPr>
                <w:rFonts w:ascii="Times New Roman" w:eastAsia="Times New Roman" w:hAnsi="Times New Roman" w:cs="Times New Roman"/>
              </w:rPr>
              <w:t xml:space="preserve">The College prepares a regularity each year in advance of the regularity audit undertaken by the College’s external auditor. This is signed off by the Chair of the Corporation and Principal.  </w:t>
            </w:r>
          </w:p>
        </w:tc>
      </w:tr>
      <w:tr w:rsidR="009558B4" w14:paraId="638ACBDB" w14:textId="77777777" w:rsidTr="008F3B2E">
        <w:trPr>
          <w:trHeight w:val="4582"/>
        </w:trPr>
        <w:tc>
          <w:tcPr>
            <w:tcW w:w="8926" w:type="dxa"/>
            <w:tcBorders>
              <w:top w:val="single" w:sz="4" w:space="0" w:color="000000"/>
              <w:left w:val="single" w:sz="4" w:space="0" w:color="000000"/>
              <w:bottom w:val="single" w:sz="4" w:space="0" w:color="000000"/>
              <w:right w:val="single" w:sz="4" w:space="0" w:color="000000"/>
            </w:tcBorders>
            <w:vAlign w:val="bottom"/>
          </w:tcPr>
          <w:p w14:paraId="25DB0251" w14:textId="77777777" w:rsidR="009558B4" w:rsidRDefault="006B699F">
            <w:pPr>
              <w:spacing w:after="110"/>
            </w:pPr>
            <w:r>
              <w:rPr>
                <w:rFonts w:ascii="Times New Roman" w:eastAsia="Times New Roman" w:hAnsi="Times New Roman" w:cs="Times New Roman"/>
              </w:rPr>
              <w:t xml:space="preserve">Reporting requirements </w:t>
            </w:r>
          </w:p>
          <w:p w14:paraId="5DF49685" w14:textId="77777777" w:rsidR="009558B4" w:rsidRDefault="006B699F">
            <w:pPr>
              <w:spacing w:after="113"/>
            </w:pPr>
            <w:r>
              <w:rPr>
                <w:rFonts w:ascii="Times New Roman" w:eastAsia="Times New Roman" w:hAnsi="Times New Roman" w:cs="Times New Roman"/>
              </w:rPr>
              <w:t xml:space="preserve">The board must comply with the following reporting requirements: </w:t>
            </w:r>
          </w:p>
          <w:p w14:paraId="0B3F55E5" w14:textId="77777777" w:rsidR="009558B4" w:rsidRDefault="006B699F">
            <w:pPr>
              <w:spacing w:after="113"/>
            </w:pPr>
            <w:r>
              <w:rPr>
                <w:rFonts w:ascii="Times New Roman" w:eastAsia="Times New Roman" w:hAnsi="Times New Roman" w:cs="Times New Roman"/>
              </w:rPr>
              <w:t xml:space="preserve">Ongoing- </w:t>
            </w:r>
          </w:p>
          <w:p w14:paraId="17CEE30C" w14:textId="77777777" w:rsidR="009558B4" w:rsidRDefault="006B699F">
            <w:pPr>
              <w:spacing w:after="60" w:line="308" w:lineRule="auto"/>
              <w:ind w:right="50"/>
            </w:pPr>
            <w:r>
              <w:rPr>
                <w:rFonts w:ascii="Times New Roman" w:eastAsia="Times New Roman" w:hAnsi="Times New Roman" w:cs="Times New Roman"/>
              </w:rPr>
              <w:t xml:space="preserve">Meet ESFA reporting requirements, such as prompt notification of any significant deterioration in current or forecast finances and immediate notification of the risk of insolvency. Every year- </w:t>
            </w:r>
          </w:p>
          <w:p w14:paraId="76E90751" w14:textId="77777777" w:rsidR="009558B4" w:rsidRDefault="006B699F">
            <w:pPr>
              <w:spacing w:after="127"/>
            </w:pPr>
            <w:r>
              <w:rPr>
                <w:rFonts w:ascii="Times New Roman" w:eastAsia="Times New Roman" w:hAnsi="Times New Roman" w:cs="Times New Roman"/>
              </w:rPr>
              <w:t xml:space="preserve">Submit to the ESFA: </w:t>
            </w:r>
          </w:p>
          <w:p w14:paraId="64CAA4F6" w14:textId="77777777" w:rsidR="009558B4" w:rsidRDefault="006B699F">
            <w:pPr>
              <w:numPr>
                <w:ilvl w:val="0"/>
                <w:numId w:val="16"/>
              </w:numPr>
              <w:spacing w:after="7"/>
              <w:ind w:hanging="360"/>
            </w:pPr>
            <w:r>
              <w:rPr>
                <w:rFonts w:ascii="Times New Roman" w:eastAsia="Times New Roman" w:hAnsi="Times New Roman" w:cs="Times New Roman"/>
              </w:rPr>
              <w:t xml:space="preserve">a three-year financial plan </w:t>
            </w:r>
          </w:p>
          <w:p w14:paraId="4D2758FE" w14:textId="77777777" w:rsidR="009558B4" w:rsidRDefault="006B699F">
            <w:pPr>
              <w:numPr>
                <w:ilvl w:val="0"/>
                <w:numId w:val="16"/>
              </w:numPr>
              <w:spacing w:after="118" w:line="252" w:lineRule="auto"/>
              <w:ind w:hanging="360"/>
            </w:pPr>
            <w:r>
              <w:rPr>
                <w:rFonts w:ascii="Times New Roman" w:eastAsia="Times New Roman" w:hAnsi="Times New Roman" w:cs="Times New Roman"/>
              </w:rPr>
              <w:t xml:space="preserve">an audited annual report and accounts, including a regularity report and a number of associated documents </w:t>
            </w:r>
          </w:p>
          <w:p w14:paraId="798DEA20" w14:textId="77777777" w:rsidR="009558B4" w:rsidRDefault="006B699F">
            <w:pPr>
              <w:spacing w:after="127"/>
            </w:pPr>
            <w:r>
              <w:rPr>
                <w:rFonts w:ascii="Times New Roman" w:eastAsia="Times New Roman" w:hAnsi="Times New Roman" w:cs="Times New Roman"/>
              </w:rPr>
              <w:t xml:space="preserve">The board must ensure that the accounts follow: </w:t>
            </w:r>
          </w:p>
          <w:p w14:paraId="545BD65E" w14:textId="77777777" w:rsidR="009558B4" w:rsidRDefault="006B699F">
            <w:pPr>
              <w:numPr>
                <w:ilvl w:val="0"/>
                <w:numId w:val="16"/>
              </w:numPr>
              <w:spacing w:after="7"/>
              <w:ind w:hanging="360"/>
            </w:pPr>
            <w:r>
              <w:rPr>
                <w:rFonts w:ascii="Times New Roman" w:eastAsia="Times New Roman" w:hAnsi="Times New Roman" w:cs="Times New Roman"/>
              </w:rPr>
              <w:t xml:space="preserve">the ESFA college accounts direction  </w:t>
            </w:r>
          </w:p>
          <w:p w14:paraId="2BAA2F17" w14:textId="77777777" w:rsidR="009558B4" w:rsidRPr="008F3B2E" w:rsidRDefault="006B699F">
            <w:pPr>
              <w:numPr>
                <w:ilvl w:val="0"/>
                <w:numId w:val="16"/>
              </w:numPr>
              <w:ind w:hanging="360"/>
            </w:pPr>
            <w:r>
              <w:rPr>
                <w:rFonts w:ascii="Times New Roman" w:eastAsia="Times New Roman" w:hAnsi="Times New Roman" w:cs="Times New Roman"/>
              </w:rPr>
              <w:t xml:space="preserve">Financial Reporting Standard 102 </w:t>
            </w:r>
          </w:p>
          <w:p w14:paraId="623BC104" w14:textId="3ADD577A" w:rsidR="008F3B2E" w:rsidRDefault="008F3B2E">
            <w:pPr>
              <w:numPr>
                <w:ilvl w:val="0"/>
                <w:numId w:val="16"/>
              </w:numPr>
              <w:ind w:hanging="360"/>
            </w:pPr>
            <w:r>
              <w:rPr>
                <w:rFonts w:ascii="Times New Roman" w:eastAsia="Times New Roman" w:hAnsi="Times New Roman" w:cs="Times New Roman"/>
              </w:rPr>
              <w:t>Statement of Recommended Practice for Further and Higher Education (SORP)</w:t>
            </w:r>
          </w:p>
        </w:tc>
        <w:tc>
          <w:tcPr>
            <w:tcW w:w="5023" w:type="dxa"/>
            <w:tcBorders>
              <w:top w:val="single" w:sz="4" w:space="0" w:color="000000"/>
              <w:left w:val="single" w:sz="4" w:space="0" w:color="000000"/>
              <w:bottom w:val="single" w:sz="4" w:space="0" w:color="000000"/>
              <w:right w:val="single" w:sz="4" w:space="0" w:color="000000"/>
            </w:tcBorders>
            <w:vAlign w:val="center"/>
          </w:tcPr>
          <w:p w14:paraId="2968B3BC" w14:textId="77777777" w:rsidR="009558B4" w:rsidRDefault="006B699F">
            <w:pPr>
              <w:spacing w:after="110"/>
            </w:pPr>
            <w:r>
              <w:rPr>
                <w:rFonts w:ascii="Times New Roman" w:eastAsia="Times New Roman" w:hAnsi="Times New Roman" w:cs="Times New Roman"/>
              </w:rPr>
              <w:t xml:space="preserve"> </w:t>
            </w:r>
          </w:p>
          <w:p w14:paraId="30C401C0" w14:textId="77777777" w:rsidR="009558B4" w:rsidRDefault="006B699F">
            <w:pPr>
              <w:spacing w:after="113"/>
            </w:pPr>
            <w:r>
              <w:rPr>
                <w:rFonts w:ascii="Times New Roman" w:eastAsia="Times New Roman" w:hAnsi="Times New Roman" w:cs="Times New Roman"/>
              </w:rPr>
              <w:t xml:space="preserve"> </w:t>
            </w:r>
          </w:p>
          <w:p w14:paraId="6A83DD0B" w14:textId="77777777" w:rsidR="009558B4" w:rsidRDefault="006B699F">
            <w:pPr>
              <w:spacing w:after="113"/>
            </w:pPr>
            <w:r>
              <w:rPr>
                <w:rFonts w:ascii="Times New Roman" w:eastAsia="Times New Roman" w:hAnsi="Times New Roman" w:cs="Times New Roman"/>
              </w:rPr>
              <w:t xml:space="preserve"> </w:t>
            </w:r>
          </w:p>
          <w:p w14:paraId="5FC3D4F9" w14:textId="77777777" w:rsidR="009558B4" w:rsidRDefault="006B699F">
            <w:pPr>
              <w:spacing w:after="120" w:line="252" w:lineRule="auto"/>
            </w:pPr>
            <w:r>
              <w:rPr>
                <w:rFonts w:ascii="Times New Roman" w:eastAsia="Times New Roman" w:hAnsi="Times New Roman" w:cs="Times New Roman"/>
              </w:rPr>
              <w:t xml:space="preserve">The College sends monthly management accounts to the ESFA and reports on any significant adverse events. </w:t>
            </w:r>
          </w:p>
          <w:p w14:paraId="76CE3676" w14:textId="77777777" w:rsidR="009558B4" w:rsidRDefault="006B699F">
            <w:pPr>
              <w:spacing w:after="113"/>
            </w:pPr>
            <w:r>
              <w:rPr>
                <w:rFonts w:ascii="Times New Roman" w:eastAsia="Times New Roman" w:hAnsi="Times New Roman" w:cs="Times New Roman"/>
              </w:rPr>
              <w:t xml:space="preserve"> </w:t>
            </w:r>
          </w:p>
          <w:p w14:paraId="600C3D2F" w14:textId="77777777" w:rsidR="009558B4" w:rsidRDefault="006B699F">
            <w:pPr>
              <w:spacing w:after="120" w:line="252" w:lineRule="auto"/>
            </w:pPr>
            <w:r>
              <w:rPr>
                <w:rFonts w:ascii="Times New Roman" w:eastAsia="Times New Roman" w:hAnsi="Times New Roman" w:cs="Times New Roman"/>
              </w:rPr>
              <w:t xml:space="preserve">The Financial Plan and financial statements were duly submitted within the prescribed timeframes. </w:t>
            </w:r>
          </w:p>
          <w:p w14:paraId="509418B4" w14:textId="77777777" w:rsidR="009558B4" w:rsidRDefault="006B699F">
            <w:pPr>
              <w:spacing w:after="110"/>
            </w:pPr>
            <w:r>
              <w:rPr>
                <w:rFonts w:ascii="Times New Roman" w:eastAsia="Times New Roman" w:hAnsi="Times New Roman" w:cs="Times New Roman"/>
              </w:rPr>
              <w:t xml:space="preserve"> </w:t>
            </w:r>
          </w:p>
          <w:p w14:paraId="5C84890E" w14:textId="77777777" w:rsidR="009558B4" w:rsidRDefault="006B699F">
            <w:r>
              <w:rPr>
                <w:rFonts w:ascii="Times New Roman" w:eastAsia="Times New Roman" w:hAnsi="Times New Roman" w:cs="Times New Roman"/>
              </w:rPr>
              <w:t xml:space="preserve">The College follows the financial reporting standards and guidance. Compliance is checked by the external financial statements auditor. </w:t>
            </w:r>
          </w:p>
        </w:tc>
      </w:tr>
    </w:tbl>
    <w:p w14:paraId="5EBB6E5E" w14:textId="77777777" w:rsidR="009558B4" w:rsidRDefault="009558B4">
      <w:pPr>
        <w:spacing w:after="0"/>
        <w:ind w:left="-1440" w:right="5"/>
      </w:pPr>
    </w:p>
    <w:tbl>
      <w:tblPr>
        <w:tblStyle w:val="TableGrid"/>
        <w:tblW w:w="13949" w:type="dxa"/>
        <w:tblInd w:w="5" w:type="dxa"/>
        <w:tblCellMar>
          <w:top w:w="48" w:type="dxa"/>
          <w:left w:w="108" w:type="dxa"/>
          <w:bottom w:w="6" w:type="dxa"/>
          <w:right w:w="152" w:type="dxa"/>
        </w:tblCellMar>
        <w:tblLook w:val="04A0" w:firstRow="1" w:lastRow="0" w:firstColumn="1" w:lastColumn="0" w:noHBand="0" w:noVBand="1"/>
      </w:tblPr>
      <w:tblGrid>
        <w:gridCol w:w="8926"/>
        <w:gridCol w:w="5023"/>
      </w:tblGrid>
      <w:tr w:rsidR="009558B4" w14:paraId="2907E823" w14:textId="77777777" w:rsidTr="008F3B2E">
        <w:trPr>
          <w:trHeight w:val="7478"/>
        </w:trPr>
        <w:tc>
          <w:tcPr>
            <w:tcW w:w="8926" w:type="dxa"/>
            <w:tcBorders>
              <w:top w:val="single" w:sz="4" w:space="0" w:color="000000"/>
              <w:left w:val="single" w:sz="4" w:space="0" w:color="000000"/>
              <w:bottom w:val="single" w:sz="4" w:space="0" w:color="000000"/>
              <w:right w:val="single" w:sz="4" w:space="0" w:color="000000"/>
            </w:tcBorders>
            <w:vAlign w:val="bottom"/>
          </w:tcPr>
          <w:p w14:paraId="4E31CC87" w14:textId="77777777" w:rsidR="009558B4" w:rsidRDefault="006B699F">
            <w:pPr>
              <w:spacing w:after="113"/>
            </w:pPr>
            <w:r>
              <w:rPr>
                <w:rFonts w:ascii="Times New Roman" w:eastAsia="Times New Roman" w:hAnsi="Times New Roman" w:cs="Times New Roman"/>
              </w:rPr>
              <w:t xml:space="preserve">Estate management </w:t>
            </w:r>
          </w:p>
          <w:p w14:paraId="67803779" w14:textId="77777777" w:rsidR="009558B4" w:rsidRDefault="006B699F">
            <w:pPr>
              <w:spacing w:after="120" w:line="252" w:lineRule="auto"/>
            </w:pPr>
            <w:r>
              <w:rPr>
                <w:rFonts w:ascii="Times New Roman" w:eastAsia="Times New Roman" w:hAnsi="Times New Roman" w:cs="Times New Roman"/>
              </w:rPr>
              <w:t xml:space="preserve">The board is responsible for overseeing the management of land and buildings, and for ensuring estates are used in the most efficient way for the benefit of students. </w:t>
            </w:r>
          </w:p>
          <w:p w14:paraId="3CDD1465" w14:textId="77777777" w:rsidR="009558B4" w:rsidRDefault="006B699F">
            <w:pPr>
              <w:spacing w:after="118" w:line="252" w:lineRule="auto"/>
            </w:pPr>
            <w:r>
              <w:rPr>
                <w:rFonts w:ascii="Times New Roman" w:eastAsia="Times New Roman" w:hAnsi="Times New Roman" w:cs="Times New Roman"/>
              </w:rPr>
              <w:t xml:space="preserve">The board must ensure that health and safety, fire safety, planning permission and other legal requirements are met. </w:t>
            </w:r>
          </w:p>
          <w:p w14:paraId="08642EB4" w14:textId="77777777" w:rsidR="009558B4" w:rsidRDefault="006B699F">
            <w:pPr>
              <w:spacing w:after="127"/>
            </w:pPr>
            <w:r>
              <w:rPr>
                <w:rFonts w:ascii="Times New Roman" w:eastAsia="Times New Roman" w:hAnsi="Times New Roman" w:cs="Times New Roman"/>
              </w:rPr>
              <w:t xml:space="preserve">It should ensure that: </w:t>
            </w:r>
          </w:p>
          <w:p w14:paraId="066051DD" w14:textId="77777777" w:rsidR="009558B4" w:rsidRDefault="006B699F">
            <w:pPr>
              <w:numPr>
                <w:ilvl w:val="0"/>
                <w:numId w:val="17"/>
              </w:numPr>
              <w:spacing w:after="135" w:line="252" w:lineRule="auto"/>
              <w:ind w:hanging="355"/>
            </w:pPr>
            <w:r>
              <w:rPr>
                <w:rFonts w:ascii="Times New Roman" w:eastAsia="Times New Roman" w:hAnsi="Times New Roman" w:cs="Times New Roman"/>
              </w:rPr>
              <w:t xml:space="preserve">there is an estate strategy, reviewed at least every three years and linked to wider strategic planning </w:t>
            </w:r>
          </w:p>
          <w:p w14:paraId="38312DAE" w14:textId="77777777" w:rsidR="009558B4" w:rsidRDefault="006B699F">
            <w:pPr>
              <w:numPr>
                <w:ilvl w:val="0"/>
                <w:numId w:val="17"/>
              </w:numPr>
              <w:spacing w:after="127"/>
              <w:ind w:hanging="355"/>
            </w:pPr>
            <w:r>
              <w:rPr>
                <w:rFonts w:ascii="Times New Roman" w:eastAsia="Times New Roman" w:hAnsi="Times New Roman" w:cs="Times New Roman"/>
              </w:rPr>
              <w:t xml:space="preserve">there is a three year estate maintenance plan </w:t>
            </w:r>
          </w:p>
          <w:p w14:paraId="51B22DFF" w14:textId="77777777" w:rsidR="009558B4" w:rsidRDefault="006B699F">
            <w:pPr>
              <w:numPr>
                <w:ilvl w:val="0"/>
                <w:numId w:val="17"/>
              </w:numPr>
              <w:spacing w:after="127"/>
              <w:ind w:hanging="355"/>
            </w:pPr>
            <w:r>
              <w:rPr>
                <w:rFonts w:ascii="Times New Roman" w:eastAsia="Times New Roman" w:hAnsi="Times New Roman" w:cs="Times New Roman"/>
              </w:rPr>
              <w:t xml:space="preserve">adequate insurance is in place </w:t>
            </w:r>
          </w:p>
          <w:p w14:paraId="3B9B7BE9" w14:textId="77777777" w:rsidR="009558B4" w:rsidRDefault="006B699F">
            <w:pPr>
              <w:numPr>
                <w:ilvl w:val="0"/>
                <w:numId w:val="17"/>
              </w:numPr>
              <w:spacing w:line="256" w:lineRule="auto"/>
              <w:ind w:hanging="355"/>
            </w:pPr>
            <w:r>
              <w:rPr>
                <w:rFonts w:ascii="Times New Roman" w:eastAsia="Times New Roman" w:hAnsi="Times New Roman" w:cs="Times New Roman"/>
              </w:rPr>
              <w:t xml:space="preserve">decisions on estate matters are: o made in the interests of the corporation, including getting the best possible deal in property transactions </w:t>
            </w:r>
          </w:p>
          <w:p w14:paraId="56ED5F2D" w14:textId="77777777" w:rsidR="009558B4" w:rsidRDefault="006B699F">
            <w:pPr>
              <w:spacing w:after="134"/>
              <w:ind w:left="1080"/>
            </w:pPr>
            <w:r>
              <w:rPr>
                <w:rFonts w:ascii="Times New Roman" w:eastAsia="Times New Roman" w:hAnsi="Times New Roman" w:cs="Times New Roman"/>
              </w:rPr>
              <w:t xml:space="preserve">o supported by appropriate information, such as written professional valuations </w:t>
            </w:r>
          </w:p>
          <w:p w14:paraId="6B6930C4" w14:textId="77777777" w:rsidR="009558B4" w:rsidRDefault="006B699F">
            <w:pPr>
              <w:numPr>
                <w:ilvl w:val="0"/>
                <w:numId w:val="17"/>
              </w:numPr>
              <w:spacing w:after="136" w:line="251" w:lineRule="auto"/>
              <w:ind w:hanging="355"/>
            </w:pPr>
            <w:r>
              <w:rPr>
                <w:rFonts w:ascii="Times New Roman" w:eastAsia="Times New Roman" w:hAnsi="Times New Roman" w:cs="Times New Roman"/>
              </w:rPr>
              <w:t xml:space="preserve">it obtains appropriate professional advice (legal advice is important for the sale or mortgage of property, as statements regarding the corporation's charitable status must be included in related documents) </w:t>
            </w:r>
          </w:p>
          <w:p w14:paraId="3D80ACDD" w14:textId="77777777" w:rsidR="009558B4" w:rsidRDefault="006B699F">
            <w:pPr>
              <w:numPr>
                <w:ilvl w:val="0"/>
                <w:numId w:val="17"/>
              </w:numPr>
              <w:spacing w:after="113"/>
              <w:ind w:hanging="355"/>
            </w:pPr>
            <w:r>
              <w:rPr>
                <w:rFonts w:ascii="Times New Roman" w:eastAsia="Times New Roman" w:hAnsi="Times New Roman" w:cs="Times New Roman"/>
              </w:rPr>
              <w:t xml:space="preserve">sales or leases are advertised, unless a surveyor advises otherwise </w:t>
            </w:r>
          </w:p>
          <w:p w14:paraId="0C74763A" w14:textId="77777777" w:rsidR="009558B4" w:rsidRDefault="006B699F">
            <w:pPr>
              <w:numPr>
                <w:ilvl w:val="0"/>
                <w:numId w:val="17"/>
              </w:numPr>
              <w:spacing w:after="135" w:line="252" w:lineRule="auto"/>
              <w:ind w:hanging="355"/>
            </w:pPr>
            <w:r>
              <w:rPr>
                <w:rFonts w:ascii="Times New Roman" w:eastAsia="Times New Roman" w:hAnsi="Times New Roman" w:cs="Times New Roman"/>
              </w:rPr>
              <w:t xml:space="preserve">there is an updated record of property assets, including key dates such as for lease renewals or rent reviews </w:t>
            </w:r>
          </w:p>
          <w:p w14:paraId="6AE83DAC" w14:textId="77777777" w:rsidR="009558B4" w:rsidRDefault="006B699F">
            <w:pPr>
              <w:numPr>
                <w:ilvl w:val="0"/>
                <w:numId w:val="17"/>
              </w:numPr>
              <w:spacing w:after="113"/>
              <w:ind w:hanging="355"/>
            </w:pPr>
            <w:r>
              <w:rPr>
                <w:rFonts w:ascii="Times New Roman" w:eastAsia="Times New Roman" w:hAnsi="Times New Roman" w:cs="Times New Roman"/>
              </w:rPr>
              <w:t xml:space="preserve">delegated powers for the management of the estate by staff are clearly documented </w:t>
            </w:r>
          </w:p>
          <w:p w14:paraId="6A92EEEF" w14:textId="3EDF49A6" w:rsidR="009558B4" w:rsidRDefault="006B699F">
            <w:r>
              <w:rPr>
                <w:rFonts w:ascii="Times New Roman" w:eastAsia="Times New Roman" w:hAnsi="Times New Roman" w:cs="Times New Roman"/>
              </w:rPr>
              <w:t xml:space="preserve"> </w:t>
            </w:r>
            <w:r w:rsidR="008F3B2E">
              <w:rPr>
                <w:rFonts w:ascii="Times New Roman" w:eastAsia="Times New Roman" w:hAnsi="Times New Roman" w:cs="Times New Roman"/>
              </w:rPr>
              <w:t>Where the corporation does not own the freehold of its college's land, the board needs to abide by any restrictions, conditions or requirements contained in the relevant lease or other document relating to the occupation and use of the land.</w:t>
            </w:r>
          </w:p>
        </w:tc>
        <w:tc>
          <w:tcPr>
            <w:tcW w:w="5023" w:type="dxa"/>
            <w:tcBorders>
              <w:top w:val="single" w:sz="4" w:space="0" w:color="000000"/>
              <w:left w:val="single" w:sz="4" w:space="0" w:color="000000"/>
              <w:bottom w:val="single" w:sz="4" w:space="0" w:color="000000"/>
              <w:right w:val="single" w:sz="4" w:space="0" w:color="000000"/>
            </w:tcBorders>
          </w:tcPr>
          <w:p w14:paraId="21E545FB" w14:textId="77777777" w:rsidR="009558B4" w:rsidRDefault="006B699F">
            <w:pPr>
              <w:spacing w:after="113"/>
            </w:pPr>
            <w:r>
              <w:rPr>
                <w:rFonts w:ascii="Times New Roman" w:eastAsia="Times New Roman" w:hAnsi="Times New Roman" w:cs="Times New Roman"/>
              </w:rPr>
              <w:t xml:space="preserve"> </w:t>
            </w:r>
          </w:p>
          <w:p w14:paraId="73BA6B06" w14:textId="77777777" w:rsidR="009558B4" w:rsidRDefault="006B699F">
            <w:pPr>
              <w:spacing w:after="113"/>
            </w:pPr>
            <w:r>
              <w:rPr>
                <w:rFonts w:ascii="Times New Roman" w:eastAsia="Times New Roman" w:hAnsi="Times New Roman" w:cs="Times New Roman"/>
              </w:rPr>
              <w:t xml:space="preserve"> </w:t>
            </w:r>
          </w:p>
          <w:p w14:paraId="51A8B1E6" w14:textId="77777777" w:rsidR="009558B4" w:rsidRDefault="006B699F">
            <w:pPr>
              <w:spacing w:after="113"/>
            </w:pPr>
            <w:r>
              <w:rPr>
                <w:rFonts w:ascii="Times New Roman" w:eastAsia="Times New Roman" w:hAnsi="Times New Roman" w:cs="Times New Roman"/>
              </w:rPr>
              <w:t xml:space="preserve"> </w:t>
            </w:r>
          </w:p>
          <w:p w14:paraId="3BAE351E" w14:textId="0DF23B20" w:rsidR="009558B4" w:rsidRDefault="006B699F" w:rsidP="008F3B2E">
            <w:pPr>
              <w:spacing w:after="113"/>
            </w:pPr>
            <w:r>
              <w:rPr>
                <w:rFonts w:ascii="Times New Roman" w:eastAsia="Times New Roman" w:hAnsi="Times New Roman" w:cs="Times New Roman"/>
              </w:rPr>
              <w:t xml:space="preserve">  </w:t>
            </w:r>
          </w:p>
          <w:p w14:paraId="25389BB0" w14:textId="77777777" w:rsidR="009558B4" w:rsidRDefault="006B699F">
            <w:pPr>
              <w:spacing w:after="113"/>
            </w:pPr>
            <w:r>
              <w:rPr>
                <w:rFonts w:ascii="Times New Roman" w:eastAsia="Times New Roman" w:hAnsi="Times New Roman" w:cs="Times New Roman"/>
              </w:rPr>
              <w:t xml:space="preserve">A new estates strategy is required </w:t>
            </w:r>
          </w:p>
          <w:p w14:paraId="07B975F9" w14:textId="77777777" w:rsidR="009558B4" w:rsidRDefault="006B699F">
            <w:pPr>
              <w:spacing w:after="113"/>
            </w:pPr>
            <w:r>
              <w:rPr>
                <w:rFonts w:ascii="Times New Roman" w:eastAsia="Times New Roman" w:hAnsi="Times New Roman" w:cs="Times New Roman"/>
              </w:rPr>
              <w:t xml:space="preserve"> </w:t>
            </w:r>
          </w:p>
          <w:p w14:paraId="70EF8C6C" w14:textId="77777777" w:rsidR="009558B4" w:rsidRDefault="006B699F">
            <w:pPr>
              <w:spacing w:after="120" w:line="252" w:lineRule="auto"/>
            </w:pPr>
            <w:r>
              <w:rPr>
                <w:rFonts w:ascii="Times New Roman" w:eastAsia="Times New Roman" w:hAnsi="Times New Roman" w:cs="Times New Roman"/>
              </w:rPr>
              <w:t xml:space="preserve">The College is awaiting the outcome of a recent condition survey to inform a maintenance plan </w:t>
            </w:r>
          </w:p>
          <w:p w14:paraId="30EB0991" w14:textId="77777777" w:rsidR="009558B4" w:rsidRDefault="006B699F">
            <w:pPr>
              <w:spacing w:after="113"/>
            </w:pPr>
            <w:r>
              <w:rPr>
                <w:rFonts w:ascii="Times New Roman" w:eastAsia="Times New Roman" w:hAnsi="Times New Roman" w:cs="Times New Roman"/>
              </w:rPr>
              <w:t xml:space="preserve"> </w:t>
            </w:r>
          </w:p>
          <w:p w14:paraId="43DABCBE" w14:textId="77777777" w:rsidR="009558B4" w:rsidRDefault="006B699F">
            <w:pPr>
              <w:spacing w:after="113"/>
            </w:pPr>
            <w:r>
              <w:rPr>
                <w:rFonts w:ascii="Times New Roman" w:eastAsia="Times New Roman" w:hAnsi="Times New Roman" w:cs="Times New Roman"/>
              </w:rPr>
              <w:t xml:space="preserve"> </w:t>
            </w:r>
          </w:p>
          <w:p w14:paraId="3987A049" w14:textId="77777777" w:rsidR="009558B4" w:rsidRDefault="006B699F">
            <w:pPr>
              <w:spacing w:after="113"/>
            </w:pPr>
            <w:r>
              <w:rPr>
                <w:rFonts w:ascii="Times New Roman" w:eastAsia="Times New Roman" w:hAnsi="Times New Roman" w:cs="Times New Roman"/>
              </w:rPr>
              <w:t xml:space="preserve"> </w:t>
            </w:r>
          </w:p>
          <w:p w14:paraId="231CF380" w14:textId="77777777" w:rsidR="009558B4" w:rsidRDefault="006B699F">
            <w:pPr>
              <w:spacing w:after="120" w:line="252" w:lineRule="auto"/>
            </w:pPr>
            <w:r>
              <w:rPr>
                <w:rFonts w:ascii="Times New Roman" w:eastAsia="Times New Roman" w:hAnsi="Times New Roman" w:cs="Times New Roman"/>
              </w:rPr>
              <w:t xml:space="preserve">Appropriate legal advice was sought for the sale of the sports hall in 2018. </w:t>
            </w:r>
          </w:p>
          <w:p w14:paraId="28B64D51" w14:textId="77777777" w:rsidR="009558B4" w:rsidRDefault="006B699F">
            <w:pPr>
              <w:spacing w:after="110"/>
            </w:pPr>
            <w:r>
              <w:rPr>
                <w:rFonts w:ascii="Times New Roman" w:eastAsia="Times New Roman" w:hAnsi="Times New Roman" w:cs="Times New Roman"/>
              </w:rPr>
              <w:t xml:space="preserve"> </w:t>
            </w:r>
          </w:p>
          <w:p w14:paraId="74C0F1C4" w14:textId="77777777" w:rsidR="009558B4" w:rsidRDefault="006B699F">
            <w:r>
              <w:rPr>
                <w:rFonts w:ascii="Times New Roman" w:eastAsia="Times New Roman" w:hAnsi="Times New Roman" w:cs="Times New Roman"/>
              </w:rPr>
              <w:t xml:space="preserve">The College maintains a fixed asset register. </w:t>
            </w:r>
          </w:p>
        </w:tc>
      </w:tr>
    </w:tbl>
    <w:p w14:paraId="2F614AFA" w14:textId="77777777" w:rsidR="009558B4" w:rsidRDefault="009558B4">
      <w:pPr>
        <w:spacing w:after="0"/>
        <w:ind w:left="-1440" w:right="5"/>
      </w:pPr>
    </w:p>
    <w:tbl>
      <w:tblPr>
        <w:tblStyle w:val="TableGrid"/>
        <w:tblW w:w="13949" w:type="dxa"/>
        <w:tblInd w:w="5" w:type="dxa"/>
        <w:tblCellMar>
          <w:top w:w="168" w:type="dxa"/>
          <w:left w:w="108" w:type="dxa"/>
          <w:bottom w:w="46" w:type="dxa"/>
          <w:right w:w="96" w:type="dxa"/>
        </w:tblCellMar>
        <w:tblLook w:val="04A0" w:firstRow="1" w:lastRow="0" w:firstColumn="1" w:lastColumn="0" w:noHBand="0" w:noVBand="1"/>
      </w:tblPr>
      <w:tblGrid>
        <w:gridCol w:w="8926"/>
        <w:gridCol w:w="5023"/>
      </w:tblGrid>
      <w:tr w:rsidR="009558B4" w14:paraId="3E9EA7D3" w14:textId="77777777" w:rsidTr="008F3B2E">
        <w:trPr>
          <w:trHeight w:val="2506"/>
        </w:trPr>
        <w:tc>
          <w:tcPr>
            <w:tcW w:w="8926" w:type="dxa"/>
            <w:tcBorders>
              <w:top w:val="single" w:sz="4" w:space="0" w:color="000000"/>
              <w:left w:val="single" w:sz="4" w:space="0" w:color="000000"/>
              <w:bottom w:val="single" w:sz="4" w:space="0" w:color="000000"/>
              <w:right w:val="single" w:sz="4" w:space="0" w:color="000000"/>
            </w:tcBorders>
          </w:tcPr>
          <w:p w14:paraId="307AFA5C" w14:textId="77777777" w:rsidR="009558B4" w:rsidRDefault="006B699F">
            <w:pPr>
              <w:spacing w:after="110"/>
            </w:pPr>
            <w:r>
              <w:rPr>
                <w:rFonts w:ascii="Times New Roman" w:eastAsia="Times New Roman" w:hAnsi="Times New Roman" w:cs="Times New Roman"/>
              </w:rPr>
              <w:t xml:space="preserve">Insolvency </w:t>
            </w:r>
          </w:p>
          <w:p w14:paraId="78E35B68" w14:textId="77777777" w:rsidR="009558B4" w:rsidRDefault="006B699F">
            <w:pPr>
              <w:spacing w:after="120" w:line="252" w:lineRule="auto"/>
            </w:pPr>
            <w:r>
              <w:rPr>
                <w:rFonts w:ascii="Times New Roman" w:eastAsia="Times New Roman" w:hAnsi="Times New Roman" w:cs="Times New Roman"/>
              </w:rPr>
              <w:t xml:space="preserve">A new insolvency regime for FE and sixth-form college corporations provides for orderly winding up and other insolvency proceedings in the unlikely event of a college corporation becoming insolvent. </w:t>
            </w:r>
          </w:p>
          <w:p w14:paraId="4536A9A1" w14:textId="77777777" w:rsidR="009558B4" w:rsidRDefault="006B699F">
            <w:r>
              <w:rPr>
                <w:rFonts w:ascii="Times New Roman" w:eastAsia="Times New Roman" w:hAnsi="Times New Roman" w:cs="Times New Roman"/>
              </w:rPr>
              <w:t xml:space="preserve">It also provides for a special administration regime, known as education administration, which protects education provision for existing students of the college as a whole. </w:t>
            </w:r>
          </w:p>
        </w:tc>
        <w:tc>
          <w:tcPr>
            <w:tcW w:w="5023" w:type="dxa"/>
            <w:tcBorders>
              <w:top w:val="single" w:sz="4" w:space="0" w:color="000000"/>
              <w:left w:val="single" w:sz="4" w:space="0" w:color="000000"/>
              <w:bottom w:val="single" w:sz="4" w:space="0" w:color="000000"/>
              <w:right w:val="single" w:sz="4" w:space="0" w:color="000000"/>
            </w:tcBorders>
          </w:tcPr>
          <w:p w14:paraId="34C2EF1D" w14:textId="77777777" w:rsidR="003825B5" w:rsidRDefault="003825B5">
            <w:pPr>
              <w:rPr>
                <w:rFonts w:ascii="Times New Roman" w:eastAsia="Times New Roman" w:hAnsi="Times New Roman" w:cs="Times New Roman"/>
              </w:rPr>
            </w:pPr>
          </w:p>
          <w:p w14:paraId="5D166146" w14:textId="3E288D56" w:rsidR="009558B4" w:rsidRDefault="006B699F">
            <w:r>
              <w:rPr>
                <w:rFonts w:ascii="Times New Roman" w:eastAsia="Times New Roman" w:hAnsi="Times New Roman" w:cs="Times New Roman"/>
              </w:rPr>
              <w:t xml:space="preserve">The Corporation has been briefed about the new insolvency regime </w:t>
            </w:r>
          </w:p>
        </w:tc>
      </w:tr>
      <w:tr w:rsidR="009558B4" w14:paraId="60D218E5" w14:textId="77777777" w:rsidTr="008F3B2E">
        <w:trPr>
          <w:trHeight w:val="4771"/>
        </w:trPr>
        <w:tc>
          <w:tcPr>
            <w:tcW w:w="8926" w:type="dxa"/>
            <w:tcBorders>
              <w:top w:val="single" w:sz="4" w:space="0" w:color="000000"/>
              <w:left w:val="single" w:sz="4" w:space="0" w:color="000000"/>
              <w:bottom w:val="single" w:sz="4" w:space="0" w:color="000000"/>
              <w:right w:val="single" w:sz="4" w:space="0" w:color="000000"/>
            </w:tcBorders>
            <w:vAlign w:val="bottom"/>
          </w:tcPr>
          <w:p w14:paraId="67992AFB" w14:textId="77777777" w:rsidR="009558B4" w:rsidRDefault="006B699F">
            <w:pPr>
              <w:tabs>
                <w:tab w:val="center" w:pos="1422"/>
                <w:tab w:val="center" w:pos="6645"/>
              </w:tabs>
              <w:spacing w:after="113"/>
            </w:pPr>
            <w:r>
              <w:tab/>
            </w:r>
            <w:r>
              <w:rPr>
                <w:rFonts w:ascii="Times New Roman" w:eastAsia="Times New Roman" w:hAnsi="Times New Roman" w:cs="Times New Roman"/>
              </w:rPr>
              <w:t xml:space="preserve">Changes to corporate structure </w:t>
            </w:r>
            <w:r>
              <w:rPr>
                <w:rFonts w:ascii="Times New Roman" w:eastAsia="Times New Roman" w:hAnsi="Times New Roman" w:cs="Times New Roman"/>
              </w:rPr>
              <w:tab/>
              <w:t xml:space="preserve"> </w:t>
            </w:r>
          </w:p>
          <w:p w14:paraId="7A12DD82" w14:textId="77777777" w:rsidR="009558B4" w:rsidRDefault="006B699F">
            <w:pPr>
              <w:spacing w:after="118" w:line="252" w:lineRule="auto"/>
            </w:pPr>
            <w:r>
              <w:rPr>
                <w:rFonts w:ascii="Times New Roman" w:eastAsia="Times New Roman" w:hAnsi="Times New Roman" w:cs="Times New Roman"/>
              </w:rPr>
              <w:t xml:space="preserve">When undertaking structural changes, such as dissolutions and mergers, the board must ensure it meets all legal requirements. These include public consultation where a corporation is dissolved, and protection of the employment rights of staff. </w:t>
            </w:r>
          </w:p>
          <w:p w14:paraId="40C8CDDF" w14:textId="77777777" w:rsidR="009558B4" w:rsidRDefault="006B699F">
            <w:pPr>
              <w:spacing w:after="127"/>
            </w:pPr>
            <w:r>
              <w:rPr>
                <w:rFonts w:ascii="Times New Roman" w:eastAsia="Times New Roman" w:hAnsi="Times New Roman" w:cs="Times New Roman"/>
              </w:rPr>
              <w:t xml:space="preserve">The board should: </w:t>
            </w:r>
          </w:p>
          <w:p w14:paraId="728EB169" w14:textId="77777777" w:rsidR="009558B4" w:rsidRDefault="006B699F">
            <w:pPr>
              <w:numPr>
                <w:ilvl w:val="0"/>
                <w:numId w:val="18"/>
              </w:numPr>
              <w:spacing w:after="127"/>
              <w:ind w:hanging="355"/>
            </w:pPr>
            <w:r>
              <w:rPr>
                <w:rFonts w:ascii="Times New Roman" w:eastAsia="Times New Roman" w:hAnsi="Times New Roman" w:cs="Times New Roman"/>
              </w:rPr>
              <w:t xml:space="preserve">ensure that the changes are consistent with the charitable purpose of the corporation </w:t>
            </w:r>
          </w:p>
          <w:p w14:paraId="6738FB55" w14:textId="77777777" w:rsidR="009558B4" w:rsidRDefault="006B699F">
            <w:pPr>
              <w:numPr>
                <w:ilvl w:val="0"/>
                <w:numId w:val="18"/>
              </w:numPr>
              <w:spacing w:after="135" w:line="252" w:lineRule="auto"/>
              <w:ind w:hanging="355"/>
            </w:pPr>
            <w:r>
              <w:rPr>
                <w:rFonts w:ascii="Times New Roman" w:eastAsia="Times New Roman" w:hAnsi="Times New Roman" w:cs="Times New Roman"/>
              </w:rPr>
              <w:t xml:space="preserve">carry out due diligence checks, such as financial, commercial and legal checks, to be satisfied that structural changes are in the best interests of the corporation and students </w:t>
            </w:r>
          </w:p>
          <w:p w14:paraId="100EE531" w14:textId="77777777" w:rsidR="009558B4" w:rsidRDefault="006B699F">
            <w:pPr>
              <w:numPr>
                <w:ilvl w:val="0"/>
                <w:numId w:val="18"/>
              </w:numPr>
              <w:spacing w:after="120" w:line="252" w:lineRule="auto"/>
              <w:ind w:hanging="355"/>
            </w:pPr>
            <w:r>
              <w:rPr>
                <w:rFonts w:ascii="Times New Roman" w:eastAsia="Times New Roman" w:hAnsi="Times New Roman" w:cs="Times New Roman"/>
              </w:rPr>
              <w:t xml:space="preserve">ensure there is a strategic business case for change, together with a risk management assessment </w:t>
            </w:r>
          </w:p>
          <w:p w14:paraId="267B3F33" w14:textId="77777777" w:rsidR="009558B4" w:rsidRDefault="006B699F">
            <w:pPr>
              <w:numPr>
                <w:ilvl w:val="0"/>
                <w:numId w:val="18"/>
              </w:numPr>
              <w:spacing w:after="134" w:line="252" w:lineRule="auto"/>
              <w:ind w:hanging="355"/>
            </w:pPr>
            <w:r>
              <w:rPr>
                <w:rFonts w:ascii="Times New Roman" w:eastAsia="Times New Roman" w:hAnsi="Times New Roman" w:cs="Times New Roman"/>
              </w:rPr>
              <w:t xml:space="preserve">take appropriate professional advice at the outset, independently from other corporations involved </w:t>
            </w:r>
          </w:p>
          <w:p w14:paraId="61345C6B" w14:textId="77777777" w:rsidR="009558B4" w:rsidRDefault="006B699F">
            <w:pPr>
              <w:numPr>
                <w:ilvl w:val="0"/>
                <w:numId w:val="18"/>
              </w:numPr>
              <w:ind w:hanging="355"/>
            </w:pPr>
            <w:r>
              <w:rPr>
                <w:rFonts w:ascii="Times New Roman" w:eastAsia="Times New Roman" w:hAnsi="Times New Roman" w:cs="Times New Roman"/>
              </w:rPr>
              <w:t xml:space="preserve">have a communications strategy and engage at an ear1y stage with stakeholders, such as students, staff, ESFA and banks </w:t>
            </w:r>
          </w:p>
        </w:tc>
        <w:tc>
          <w:tcPr>
            <w:tcW w:w="5023" w:type="dxa"/>
            <w:tcBorders>
              <w:top w:val="single" w:sz="4" w:space="0" w:color="000000"/>
              <w:left w:val="single" w:sz="4" w:space="0" w:color="000000"/>
              <w:bottom w:val="single" w:sz="4" w:space="0" w:color="000000"/>
              <w:right w:val="single" w:sz="4" w:space="0" w:color="000000"/>
            </w:tcBorders>
          </w:tcPr>
          <w:p w14:paraId="30CA6D5B" w14:textId="77777777" w:rsidR="009558B4" w:rsidRDefault="006B699F">
            <w:r>
              <w:rPr>
                <w:rFonts w:ascii="Times New Roman" w:eastAsia="Times New Roman" w:hAnsi="Times New Roman" w:cs="Times New Roman"/>
              </w:rPr>
              <w:t xml:space="preserve">No entity level structural changes are contemplated </w:t>
            </w:r>
          </w:p>
        </w:tc>
      </w:tr>
    </w:tbl>
    <w:p w14:paraId="7711E50D" w14:textId="77777777" w:rsidR="009558B4" w:rsidRDefault="009558B4">
      <w:pPr>
        <w:spacing w:after="0"/>
        <w:ind w:left="-1440" w:right="5"/>
      </w:pPr>
    </w:p>
    <w:tbl>
      <w:tblPr>
        <w:tblStyle w:val="TableGrid"/>
        <w:tblW w:w="13949" w:type="dxa"/>
        <w:tblInd w:w="5" w:type="dxa"/>
        <w:tblCellMar>
          <w:left w:w="108" w:type="dxa"/>
          <w:bottom w:w="6" w:type="dxa"/>
          <w:right w:w="81" w:type="dxa"/>
        </w:tblCellMar>
        <w:tblLook w:val="04A0" w:firstRow="1" w:lastRow="0" w:firstColumn="1" w:lastColumn="0" w:noHBand="0" w:noVBand="1"/>
      </w:tblPr>
      <w:tblGrid>
        <w:gridCol w:w="8926"/>
        <w:gridCol w:w="5023"/>
      </w:tblGrid>
      <w:tr w:rsidR="009558B4" w14:paraId="5DCE995A" w14:textId="77777777">
        <w:trPr>
          <w:trHeight w:val="4771"/>
        </w:trPr>
        <w:tc>
          <w:tcPr>
            <w:tcW w:w="8926" w:type="dxa"/>
            <w:tcBorders>
              <w:top w:val="single" w:sz="4" w:space="0" w:color="000000"/>
              <w:left w:val="single" w:sz="4" w:space="0" w:color="000000"/>
              <w:bottom w:val="single" w:sz="4" w:space="0" w:color="000000"/>
              <w:right w:val="single" w:sz="4" w:space="0" w:color="000000"/>
            </w:tcBorders>
          </w:tcPr>
          <w:p w14:paraId="048D1817" w14:textId="77777777" w:rsidR="009558B4" w:rsidRDefault="006B699F">
            <w:pPr>
              <w:numPr>
                <w:ilvl w:val="0"/>
                <w:numId w:val="19"/>
              </w:numPr>
              <w:spacing w:after="135" w:line="252" w:lineRule="auto"/>
              <w:ind w:hanging="355"/>
            </w:pPr>
            <w:r>
              <w:rPr>
                <w:rFonts w:ascii="Times New Roman" w:eastAsia="Times New Roman" w:hAnsi="Times New Roman" w:cs="Times New Roman"/>
              </w:rPr>
              <w:t xml:space="preserve">consider the capacity of governors and executive staff to manage change in terms of time and skills, and whether external restructuring and project management expertise is needed </w:t>
            </w:r>
          </w:p>
          <w:p w14:paraId="33E1E147" w14:textId="77777777" w:rsidR="009558B4" w:rsidRDefault="006B699F">
            <w:pPr>
              <w:numPr>
                <w:ilvl w:val="0"/>
                <w:numId w:val="19"/>
              </w:numPr>
              <w:spacing w:after="132" w:line="252" w:lineRule="auto"/>
              <w:ind w:hanging="355"/>
            </w:pPr>
            <w:r>
              <w:rPr>
                <w:rFonts w:ascii="Times New Roman" w:eastAsia="Times New Roman" w:hAnsi="Times New Roman" w:cs="Times New Roman"/>
              </w:rPr>
              <w:t xml:space="preserve">agree the governance arrangements for the project with partner organisations, such as a dedicated merger committee with representatives from each partner's board, plus independent members </w:t>
            </w:r>
          </w:p>
          <w:p w14:paraId="7B8C4019" w14:textId="77777777" w:rsidR="009558B4" w:rsidRDefault="006B699F">
            <w:pPr>
              <w:numPr>
                <w:ilvl w:val="0"/>
                <w:numId w:val="19"/>
              </w:numPr>
              <w:spacing w:after="135" w:line="252" w:lineRule="auto"/>
              <w:ind w:hanging="355"/>
            </w:pPr>
            <w:r>
              <w:rPr>
                <w:rFonts w:ascii="Times New Roman" w:eastAsia="Times New Roman" w:hAnsi="Times New Roman" w:cs="Times New Roman"/>
              </w:rPr>
              <w:t xml:space="preserve">ensure strong project management, with clear processes for monitoring and reporting to the board </w:t>
            </w:r>
          </w:p>
          <w:p w14:paraId="4E840115" w14:textId="77777777" w:rsidR="009558B4" w:rsidRDefault="006B699F">
            <w:pPr>
              <w:numPr>
                <w:ilvl w:val="0"/>
                <w:numId w:val="19"/>
              </w:numPr>
              <w:spacing w:after="135" w:line="252" w:lineRule="auto"/>
              <w:ind w:hanging="355"/>
            </w:pPr>
            <w:r>
              <w:rPr>
                <w:rFonts w:ascii="Times New Roman" w:eastAsia="Times New Roman" w:hAnsi="Times New Roman" w:cs="Times New Roman"/>
              </w:rPr>
              <w:t xml:space="preserve">manage the expectations of change partners at the outset, such as board composition and senior appointments in a merged organisation </w:t>
            </w:r>
          </w:p>
          <w:p w14:paraId="392A622A" w14:textId="77777777" w:rsidR="009558B4" w:rsidRDefault="006B699F">
            <w:pPr>
              <w:numPr>
                <w:ilvl w:val="0"/>
                <w:numId w:val="19"/>
              </w:numPr>
              <w:spacing w:after="135" w:line="252" w:lineRule="auto"/>
              <w:ind w:hanging="355"/>
            </w:pPr>
            <w:r>
              <w:rPr>
                <w:rFonts w:ascii="Times New Roman" w:eastAsia="Times New Roman" w:hAnsi="Times New Roman" w:cs="Times New Roman"/>
              </w:rPr>
              <w:t xml:space="preserve">manage conflicts of interest, such as a principal playing a leading role in project management when an outcome of change is that they may lose their job </w:t>
            </w:r>
          </w:p>
          <w:p w14:paraId="2A04AF70" w14:textId="77777777" w:rsidR="009558B4" w:rsidRDefault="006B699F">
            <w:pPr>
              <w:numPr>
                <w:ilvl w:val="0"/>
                <w:numId w:val="19"/>
              </w:numPr>
              <w:ind w:hanging="355"/>
            </w:pPr>
            <w:r>
              <w:rPr>
                <w:rFonts w:ascii="Times New Roman" w:eastAsia="Times New Roman" w:hAnsi="Times New Roman" w:cs="Times New Roman"/>
              </w:rPr>
              <w:t xml:space="preserve">ensure that merger preparations give due consideration to the quality of teaching and learning, alongside financial, property and legal matters </w:t>
            </w:r>
          </w:p>
        </w:tc>
        <w:tc>
          <w:tcPr>
            <w:tcW w:w="5023" w:type="dxa"/>
            <w:tcBorders>
              <w:top w:val="single" w:sz="4" w:space="0" w:color="000000"/>
              <w:left w:val="single" w:sz="4" w:space="0" w:color="000000"/>
              <w:bottom w:val="single" w:sz="4" w:space="0" w:color="000000"/>
              <w:right w:val="single" w:sz="4" w:space="0" w:color="000000"/>
            </w:tcBorders>
          </w:tcPr>
          <w:p w14:paraId="10CB2EC9" w14:textId="77777777" w:rsidR="009558B4" w:rsidRDefault="009558B4"/>
        </w:tc>
      </w:tr>
      <w:tr w:rsidR="009558B4" w14:paraId="78718D29" w14:textId="77777777">
        <w:trPr>
          <w:trHeight w:val="3806"/>
        </w:trPr>
        <w:tc>
          <w:tcPr>
            <w:tcW w:w="8926" w:type="dxa"/>
            <w:tcBorders>
              <w:top w:val="single" w:sz="4" w:space="0" w:color="000000"/>
              <w:left w:val="single" w:sz="4" w:space="0" w:color="000000"/>
              <w:bottom w:val="single" w:sz="4" w:space="0" w:color="000000"/>
              <w:right w:val="single" w:sz="4" w:space="0" w:color="000000"/>
            </w:tcBorders>
            <w:vAlign w:val="bottom"/>
          </w:tcPr>
          <w:p w14:paraId="59DE04B6" w14:textId="77777777" w:rsidR="009558B4" w:rsidRDefault="006B699F">
            <w:pPr>
              <w:spacing w:after="113"/>
            </w:pPr>
            <w:r>
              <w:rPr>
                <w:rFonts w:ascii="Times New Roman" w:eastAsia="Times New Roman" w:hAnsi="Times New Roman" w:cs="Times New Roman"/>
              </w:rPr>
              <w:t xml:space="preserve">Risk management </w:t>
            </w:r>
          </w:p>
          <w:p w14:paraId="35678CFD" w14:textId="77777777" w:rsidR="009558B4" w:rsidRDefault="006B699F">
            <w:pPr>
              <w:spacing w:after="120" w:line="252" w:lineRule="auto"/>
            </w:pPr>
            <w:r>
              <w:rPr>
                <w:rFonts w:ascii="Times New Roman" w:eastAsia="Times New Roman" w:hAnsi="Times New Roman" w:cs="Times New Roman"/>
              </w:rPr>
              <w:t xml:space="preserve">Managing risk is essential to ensure the corporation's key objectives are met, and to protect its funds and assets. </w:t>
            </w:r>
          </w:p>
          <w:p w14:paraId="60989BB4" w14:textId="77777777" w:rsidR="009558B4" w:rsidRDefault="006B699F">
            <w:pPr>
              <w:spacing w:after="120" w:line="252" w:lineRule="auto"/>
            </w:pPr>
            <w:r>
              <w:rPr>
                <w:rFonts w:ascii="Times New Roman" w:eastAsia="Times New Roman" w:hAnsi="Times New Roman" w:cs="Times New Roman"/>
              </w:rPr>
              <w:t xml:space="preserve">Poor risk management, or poor handling of the aftermath of errors, can undermine the corporation's reputation for integrity, competence and educational effectiveness. </w:t>
            </w:r>
          </w:p>
          <w:p w14:paraId="599A2167" w14:textId="77777777" w:rsidR="009558B4" w:rsidRDefault="006B699F">
            <w:pPr>
              <w:spacing w:after="127"/>
            </w:pPr>
            <w:r>
              <w:rPr>
                <w:rFonts w:ascii="Times New Roman" w:eastAsia="Times New Roman" w:hAnsi="Times New Roman" w:cs="Times New Roman"/>
              </w:rPr>
              <w:t xml:space="preserve">Types of risk include: </w:t>
            </w:r>
          </w:p>
          <w:p w14:paraId="09006488" w14:textId="77777777" w:rsidR="009558B4" w:rsidRDefault="006B699F">
            <w:pPr>
              <w:numPr>
                <w:ilvl w:val="0"/>
                <w:numId w:val="20"/>
              </w:numPr>
              <w:spacing w:after="135" w:line="252" w:lineRule="auto"/>
              <w:ind w:hanging="360"/>
            </w:pPr>
            <w:r>
              <w:rPr>
                <w:rFonts w:ascii="Times New Roman" w:eastAsia="Times New Roman" w:hAnsi="Times New Roman" w:cs="Times New Roman"/>
              </w:rPr>
              <w:t xml:space="preserve">Compliance: Includes breaches of information law arising from poor management of personal data </w:t>
            </w:r>
          </w:p>
          <w:p w14:paraId="6F1D6F66" w14:textId="77777777" w:rsidR="009558B4" w:rsidRDefault="006B699F">
            <w:pPr>
              <w:numPr>
                <w:ilvl w:val="0"/>
                <w:numId w:val="20"/>
              </w:numPr>
              <w:spacing w:after="127"/>
              <w:ind w:hanging="360"/>
            </w:pPr>
            <w:r>
              <w:rPr>
                <w:rFonts w:ascii="Times New Roman" w:eastAsia="Times New Roman" w:hAnsi="Times New Roman" w:cs="Times New Roman"/>
              </w:rPr>
              <w:t xml:space="preserve">Financial: Such as demographic changes in the number of students reducing income </w:t>
            </w:r>
          </w:p>
          <w:p w14:paraId="57478C85" w14:textId="77777777" w:rsidR="009558B4" w:rsidRDefault="006B699F">
            <w:pPr>
              <w:numPr>
                <w:ilvl w:val="0"/>
                <w:numId w:val="20"/>
              </w:numPr>
              <w:ind w:hanging="360"/>
            </w:pPr>
            <w:r>
              <w:rPr>
                <w:rFonts w:ascii="Times New Roman" w:eastAsia="Times New Roman" w:hAnsi="Times New Roman" w:cs="Times New Roman"/>
              </w:rPr>
              <w:t xml:space="preserve">Academic: For example, standards of teaching and learning giving rise to adverse Ofsted inspection outcomes, leading to a fall in student recruitment </w:t>
            </w:r>
          </w:p>
        </w:tc>
        <w:tc>
          <w:tcPr>
            <w:tcW w:w="5023" w:type="dxa"/>
            <w:tcBorders>
              <w:top w:val="single" w:sz="4" w:space="0" w:color="000000"/>
              <w:left w:val="single" w:sz="4" w:space="0" w:color="000000"/>
              <w:bottom w:val="single" w:sz="4" w:space="0" w:color="000000"/>
              <w:right w:val="single" w:sz="4" w:space="0" w:color="000000"/>
            </w:tcBorders>
          </w:tcPr>
          <w:p w14:paraId="6EE6BCE1" w14:textId="77777777" w:rsidR="009558B4" w:rsidRDefault="006B699F">
            <w:r>
              <w:rPr>
                <w:rFonts w:ascii="Times New Roman" w:eastAsia="Times New Roman" w:hAnsi="Times New Roman" w:cs="Times New Roman"/>
              </w:rPr>
              <w:t xml:space="preserve">Risk Management Policy </w:t>
            </w:r>
          </w:p>
          <w:p w14:paraId="24E8F987" w14:textId="77777777" w:rsidR="009558B4" w:rsidRDefault="006B699F">
            <w:pPr>
              <w:spacing w:after="113"/>
            </w:pPr>
            <w:r>
              <w:rPr>
                <w:rFonts w:ascii="Times New Roman" w:eastAsia="Times New Roman" w:hAnsi="Times New Roman" w:cs="Times New Roman"/>
              </w:rPr>
              <w:t xml:space="preserve">Strategic Risk Register </w:t>
            </w:r>
          </w:p>
          <w:p w14:paraId="18B97834" w14:textId="77777777" w:rsidR="009558B4" w:rsidRDefault="006B699F">
            <w:pPr>
              <w:spacing w:after="120" w:line="252" w:lineRule="auto"/>
            </w:pPr>
            <w:r>
              <w:rPr>
                <w:rFonts w:ascii="Times New Roman" w:eastAsia="Times New Roman" w:hAnsi="Times New Roman" w:cs="Times New Roman"/>
              </w:rPr>
              <w:t xml:space="preserve">The College maintains a strategic risk register. This is reviewed at each Audit Committee meeting and at least annually by the Corporation. </w:t>
            </w:r>
          </w:p>
          <w:p w14:paraId="1E45134C" w14:textId="77777777" w:rsidR="009558B4" w:rsidRDefault="006B699F">
            <w:pPr>
              <w:spacing w:after="120" w:line="252" w:lineRule="auto"/>
            </w:pPr>
            <w:r>
              <w:rPr>
                <w:rFonts w:ascii="Times New Roman" w:eastAsia="Times New Roman" w:hAnsi="Times New Roman" w:cs="Times New Roman"/>
              </w:rPr>
              <w:t xml:space="preserve">The risk management policy sets out the risk appetite of the Corporation. It also sets out the ways in which risk is monitored, controlled and mitigated. </w:t>
            </w:r>
          </w:p>
          <w:p w14:paraId="5B020B1F" w14:textId="77777777" w:rsidR="009558B4" w:rsidRDefault="006B699F">
            <w:r>
              <w:rPr>
                <w:rFonts w:ascii="Times New Roman" w:eastAsia="Times New Roman" w:hAnsi="Times New Roman" w:cs="Times New Roman"/>
              </w:rPr>
              <w:t xml:space="preserve"> </w:t>
            </w:r>
          </w:p>
        </w:tc>
      </w:tr>
      <w:tr w:rsidR="009558B4" w14:paraId="2B5892B7" w14:textId="77777777">
        <w:trPr>
          <w:trHeight w:val="6912"/>
        </w:trPr>
        <w:tc>
          <w:tcPr>
            <w:tcW w:w="8926" w:type="dxa"/>
            <w:tcBorders>
              <w:top w:val="single" w:sz="4" w:space="0" w:color="000000"/>
              <w:left w:val="single" w:sz="4" w:space="0" w:color="000000"/>
              <w:bottom w:val="single" w:sz="4" w:space="0" w:color="000000"/>
              <w:right w:val="single" w:sz="4" w:space="0" w:color="000000"/>
            </w:tcBorders>
            <w:vAlign w:val="bottom"/>
          </w:tcPr>
          <w:p w14:paraId="37414320" w14:textId="77777777" w:rsidR="009558B4" w:rsidRDefault="006B699F">
            <w:pPr>
              <w:spacing w:after="127"/>
            </w:pPr>
            <w:r>
              <w:rPr>
                <w:rFonts w:ascii="Times New Roman" w:eastAsia="Times New Roman" w:hAnsi="Times New Roman" w:cs="Times New Roman"/>
              </w:rPr>
              <w:t xml:space="preserve">The board must ensure there is a clear risk management policy so that: </w:t>
            </w:r>
          </w:p>
          <w:p w14:paraId="5DB8E562" w14:textId="77777777" w:rsidR="009558B4" w:rsidRDefault="006B699F">
            <w:pPr>
              <w:numPr>
                <w:ilvl w:val="0"/>
                <w:numId w:val="21"/>
              </w:numPr>
              <w:spacing w:after="127"/>
              <w:ind w:hanging="355"/>
            </w:pPr>
            <w:r>
              <w:rPr>
                <w:rFonts w:ascii="Times New Roman" w:eastAsia="Times New Roman" w:hAnsi="Times New Roman" w:cs="Times New Roman"/>
              </w:rPr>
              <w:t xml:space="preserve">significant risks are identified, assessed, monitored and managed </w:t>
            </w:r>
          </w:p>
          <w:p w14:paraId="1944DABD" w14:textId="77777777" w:rsidR="009558B4" w:rsidRDefault="006B699F">
            <w:pPr>
              <w:numPr>
                <w:ilvl w:val="0"/>
                <w:numId w:val="21"/>
              </w:numPr>
              <w:spacing w:after="135" w:line="252" w:lineRule="auto"/>
              <w:ind w:hanging="355"/>
            </w:pPr>
            <w:r>
              <w:rPr>
                <w:rFonts w:ascii="Times New Roman" w:eastAsia="Times New Roman" w:hAnsi="Times New Roman" w:cs="Times New Roman"/>
              </w:rPr>
              <w:t xml:space="preserve">the effectiveness of risk management, internal control systems, assurance arrangements and business continuity planning is regularly reviewed </w:t>
            </w:r>
          </w:p>
          <w:p w14:paraId="01883AFD" w14:textId="77777777" w:rsidR="009558B4" w:rsidRDefault="006B699F">
            <w:pPr>
              <w:numPr>
                <w:ilvl w:val="0"/>
                <w:numId w:val="21"/>
              </w:numPr>
              <w:spacing w:after="132" w:line="252" w:lineRule="auto"/>
              <w:ind w:hanging="355"/>
            </w:pPr>
            <w:r>
              <w:rPr>
                <w:rFonts w:ascii="Times New Roman" w:eastAsia="Times New Roman" w:hAnsi="Times New Roman" w:cs="Times New Roman"/>
              </w:rPr>
              <w:t xml:space="preserve">a risk exposure profile can be created that reflects the board's views on what levels of risk are acceptable </w:t>
            </w:r>
          </w:p>
          <w:p w14:paraId="624BA378" w14:textId="77777777" w:rsidR="009558B4" w:rsidRDefault="006B699F">
            <w:pPr>
              <w:numPr>
                <w:ilvl w:val="0"/>
                <w:numId w:val="21"/>
              </w:numPr>
              <w:spacing w:after="113"/>
              <w:ind w:hanging="355"/>
            </w:pPr>
            <w:r>
              <w:rPr>
                <w:rFonts w:ascii="Times New Roman" w:eastAsia="Times New Roman" w:hAnsi="Times New Roman" w:cs="Times New Roman"/>
              </w:rPr>
              <w:t xml:space="preserve">risk management is ongoing and part of operational procedures </w:t>
            </w:r>
          </w:p>
          <w:p w14:paraId="0ACB2F34" w14:textId="77777777" w:rsidR="009558B4" w:rsidRDefault="006B699F">
            <w:pPr>
              <w:spacing w:after="120" w:line="252" w:lineRule="auto"/>
            </w:pPr>
            <w:r>
              <w:rPr>
                <w:rFonts w:ascii="Times New Roman" w:eastAsia="Times New Roman" w:hAnsi="Times New Roman" w:cs="Times New Roman"/>
              </w:rPr>
              <w:t xml:space="preserve">The board may delegate elements of the policy, but must retain overall responsibility and must publish a statement in annual accounts about how it manages risk. </w:t>
            </w:r>
          </w:p>
          <w:p w14:paraId="2FDE9F74" w14:textId="77777777" w:rsidR="009558B4" w:rsidRDefault="006B699F">
            <w:pPr>
              <w:spacing w:after="127"/>
            </w:pPr>
            <w:r>
              <w:rPr>
                <w:rFonts w:ascii="Times New Roman" w:eastAsia="Times New Roman" w:hAnsi="Times New Roman" w:cs="Times New Roman"/>
              </w:rPr>
              <w:t xml:space="preserve">Important means of managing risk include: </w:t>
            </w:r>
          </w:p>
          <w:p w14:paraId="0A97FC83" w14:textId="77777777" w:rsidR="009558B4" w:rsidRDefault="006B699F">
            <w:pPr>
              <w:numPr>
                <w:ilvl w:val="0"/>
                <w:numId w:val="21"/>
              </w:numPr>
              <w:spacing w:after="135" w:line="252" w:lineRule="auto"/>
              <w:ind w:hanging="355"/>
            </w:pPr>
            <w:r>
              <w:rPr>
                <w:rFonts w:ascii="Times New Roman" w:eastAsia="Times New Roman" w:hAnsi="Times New Roman" w:cs="Times New Roman"/>
              </w:rPr>
              <w:t xml:space="preserve">the effective use of risk registers covering all areas of risk relevant to the corporation, including reputational risk </w:t>
            </w:r>
          </w:p>
          <w:p w14:paraId="03BED921" w14:textId="77777777" w:rsidR="009558B4" w:rsidRDefault="006B699F">
            <w:pPr>
              <w:numPr>
                <w:ilvl w:val="0"/>
                <w:numId w:val="21"/>
              </w:numPr>
              <w:spacing w:after="127"/>
              <w:ind w:hanging="355"/>
            </w:pPr>
            <w:r>
              <w:rPr>
                <w:rFonts w:ascii="Times New Roman" w:eastAsia="Times New Roman" w:hAnsi="Times New Roman" w:cs="Times New Roman"/>
              </w:rPr>
              <w:t xml:space="preserve">use of professional specialist advice to inform significant decisions </w:t>
            </w:r>
          </w:p>
          <w:p w14:paraId="4B9C688E" w14:textId="77777777" w:rsidR="009558B4" w:rsidRDefault="006B699F">
            <w:pPr>
              <w:numPr>
                <w:ilvl w:val="0"/>
                <w:numId w:val="21"/>
              </w:numPr>
              <w:spacing w:after="127"/>
              <w:ind w:hanging="355"/>
            </w:pPr>
            <w:r>
              <w:rPr>
                <w:rFonts w:ascii="Times New Roman" w:eastAsia="Times New Roman" w:hAnsi="Times New Roman" w:cs="Times New Roman"/>
              </w:rPr>
              <w:t xml:space="preserve">buying insurance- note that some insurance is compulsory, such as employers' liability </w:t>
            </w:r>
          </w:p>
          <w:p w14:paraId="4A63F7D0" w14:textId="77777777" w:rsidR="009558B4" w:rsidRDefault="006B699F">
            <w:pPr>
              <w:numPr>
                <w:ilvl w:val="0"/>
                <w:numId w:val="21"/>
              </w:numPr>
              <w:spacing w:after="127"/>
              <w:ind w:hanging="355"/>
            </w:pPr>
            <w:r>
              <w:rPr>
                <w:rFonts w:ascii="Times New Roman" w:eastAsia="Times New Roman" w:hAnsi="Times New Roman" w:cs="Times New Roman"/>
              </w:rPr>
              <w:t xml:space="preserve">effective financial controls and monitoring </w:t>
            </w:r>
          </w:p>
          <w:p w14:paraId="7826B370" w14:textId="77777777" w:rsidR="009558B4" w:rsidRDefault="006B699F">
            <w:pPr>
              <w:numPr>
                <w:ilvl w:val="0"/>
                <w:numId w:val="21"/>
              </w:numPr>
              <w:spacing w:after="125"/>
              <w:ind w:hanging="355"/>
            </w:pPr>
            <w:r>
              <w:rPr>
                <w:rFonts w:ascii="Times New Roman" w:eastAsia="Times New Roman" w:hAnsi="Times New Roman" w:cs="Times New Roman"/>
              </w:rPr>
              <w:t xml:space="preserve">effective oversight of the principal and other senior staff </w:t>
            </w:r>
          </w:p>
          <w:p w14:paraId="7FBEB776" w14:textId="77777777" w:rsidR="009558B4" w:rsidRDefault="006B699F">
            <w:pPr>
              <w:numPr>
                <w:ilvl w:val="0"/>
                <w:numId w:val="21"/>
              </w:numPr>
              <w:spacing w:line="365" w:lineRule="auto"/>
              <w:ind w:hanging="355"/>
            </w:pPr>
            <w:r>
              <w:rPr>
                <w:rFonts w:ascii="Times New Roman" w:eastAsia="Times New Roman" w:hAnsi="Times New Roman" w:cs="Times New Roman"/>
              </w:rPr>
              <w:t xml:space="preserve">effective mechanisms for monitoring the corporation's governance and performance The board must publish a statement in its annual accounts about how it manages risk. </w:t>
            </w:r>
          </w:p>
          <w:p w14:paraId="529119BC" w14:textId="77777777" w:rsidR="009558B4" w:rsidRDefault="006B699F">
            <w:r>
              <w:rPr>
                <w:rFonts w:ascii="Times New Roman" w:eastAsia="Times New Roman" w:hAnsi="Times New Roman" w:cs="Times New Roman"/>
              </w:rPr>
              <w:t xml:space="preserve"> </w:t>
            </w:r>
          </w:p>
        </w:tc>
        <w:tc>
          <w:tcPr>
            <w:tcW w:w="5023" w:type="dxa"/>
            <w:tcBorders>
              <w:top w:val="single" w:sz="4" w:space="0" w:color="000000"/>
              <w:left w:val="single" w:sz="4" w:space="0" w:color="000000"/>
              <w:bottom w:val="single" w:sz="4" w:space="0" w:color="000000"/>
              <w:right w:val="single" w:sz="4" w:space="0" w:color="000000"/>
            </w:tcBorders>
          </w:tcPr>
          <w:p w14:paraId="2395227B" w14:textId="77777777" w:rsidR="009558B4" w:rsidRDefault="009558B4"/>
        </w:tc>
      </w:tr>
    </w:tbl>
    <w:p w14:paraId="00013BA5" w14:textId="77777777" w:rsidR="009558B4" w:rsidRDefault="006B699F">
      <w:pPr>
        <w:spacing w:after="0"/>
        <w:jc w:val="both"/>
      </w:pPr>
      <w:r>
        <w:rPr>
          <w:rFonts w:ascii="Times New Roman" w:eastAsia="Times New Roman" w:hAnsi="Times New Roman" w:cs="Times New Roman"/>
        </w:rPr>
        <w:t xml:space="preserve"> </w:t>
      </w:r>
    </w:p>
    <w:p w14:paraId="4A59CF28" w14:textId="77777777" w:rsidR="009558B4" w:rsidRDefault="009558B4">
      <w:pPr>
        <w:spacing w:after="0"/>
        <w:ind w:left="-1440" w:right="5"/>
      </w:pPr>
    </w:p>
    <w:tbl>
      <w:tblPr>
        <w:tblStyle w:val="TableGrid"/>
        <w:tblW w:w="13949" w:type="dxa"/>
        <w:tblInd w:w="5" w:type="dxa"/>
        <w:tblCellMar>
          <w:top w:w="48" w:type="dxa"/>
          <w:left w:w="108" w:type="dxa"/>
          <w:right w:w="84" w:type="dxa"/>
        </w:tblCellMar>
        <w:tblLook w:val="04A0" w:firstRow="1" w:lastRow="0" w:firstColumn="1" w:lastColumn="0" w:noHBand="0" w:noVBand="1"/>
      </w:tblPr>
      <w:tblGrid>
        <w:gridCol w:w="8926"/>
        <w:gridCol w:w="5023"/>
      </w:tblGrid>
      <w:tr w:rsidR="009558B4" w14:paraId="4A026BE2" w14:textId="77777777">
        <w:trPr>
          <w:trHeight w:val="5081"/>
        </w:trPr>
        <w:tc>
          <w:tcPr>
            <w:tcW w:w="8926" w:type="dxa"/>
            <w:tcBorders>
              <w:top w:val="single" w:sz="4" w:space="0" w:color="000000"/>
              <w:left w:val="single" w:sz="4" w:space="0" w:color="000000"/>
              <w:bottom w:val="single" w:sz="4" w:space="0" w:color="000000"/>
              <w:right w:val="single" w:sz="4" w:space="0" w:color="000000"/>
            </w:tcBorders>
          </w:tcPr>
          <w:p w14:paraId="726CFD6F" w14:textId="77777777" w:rsidR="009558B4" w:rsidRDefault="006B699F">
            <w:pPr>
              <w:spacing w:after="113"/>
            </w:pPr>
            <w:r>
              <w:rPr>
                <w:rFonts w:ascii="Times New Roman" w:eastAsia="Times New Roman" w:hAnsi="Times New Roman" w:cs="Times New Roman"/>
              </w:rPr>
              <w:t xml:space="preserve">Financial controls </w:t>
            </w:r>
          </w:p>
          <w:p w14:paraId="5A437319" w14:textId="77777777" w:rsidR="009558B4" w:rsidRDefault="006B699F">
            <w:pPr>
              <w:spacing w:after="127"/>
            </w:pPr>
            <w:r>
              <w:rPr>
                <w:rFonts w:ascii="Times New Roman" w:eastAsia="Times New Roman" w:hAnsi="Times New Roman" w:cs="Times New Roman"/>
              </w:rPr>
              <w:t xml:space="preserve">The board must safeguard the corporation's assets. The board should ensure that: </w:t>
            </w:r>
          </w:p>
          <w:p w14:paraId="68A375F3" w14:textId="77777777" w:rsidR="009558B4" w:rsidRDefault="006B699F">
            <w:pPr>
              <w:numPr>
                <w:ilvl w:val="0"/>
                <w:numId w:val="22"/>
              </w:numPr>
              <w:spacing w:after="127"/>
              <w:ind w:firstLine="358"/>
            </w:pPr>
            <w:r>
              <w:rPr>
                <w:rFonts w:ascii="Times New Roman" w:eastAsia="Times New Roman" w:hAnsi="Times New Roman" w:cs="Times New Roman"/>
              </w:rPr>
              <w:t xml:space="preserve">robust financial controls are in place </w:t>
            </w:r>
          </w:p>
          <w:p w14:paraId="61F0CC62" w14:textId="77777777" w:rsidR="009558B4" w:rsidRDefault="006B699F">
            <w:pPr>
              <w:numPr>
                <w:ilvl w:val="0"/>
                <w:numId w:val="22"/>
              </w:numPr>
              <w:spacing w:after="127"/>
              <w:ind w:firstLine="358"/>
            </w:pPr>
            <w:r>
              <w:rPr>
                <w:rFonts w:ascii="Times New Roman" w:eastAsia="Times New Roman" w:hAnsi="Times New Roman" w:cs="Times New Roman"/>
              </w:rPr>
              <w:t xml:space="preserve">the effectiveness of financial controls is reviewed at least annually </w:t>
            </w:r>
          </w:p>
          <w:p w14:paraId="6DDDB506" w14:textId="77777777" w:rsidR="009558B4" w:rsidRDefault="006B699F">
            <w:pPr>
              <w:numPr>
                <w:ilvl w:val="0"/>
                <w:numId w:val="22"/>
              </w:numPr>
              <w:spacing w:after="12" w:line="365" w:lineRule="auto"/>
              <w:ind w:firstLine="358"/>
            </w:pPr>
            <w:r>
              <w:rPr>
                <w:rFonts w:ascii="Times New Roman" w:eastAsia="Times New Roman" w:hAnsi="Times New Roman" w:cs="Times New Roman"/>
              </w:rPr>
              <w:t xml:space="preserve">it promotes a culture of control, which is embedded in the operations of the organisation Internal financial controls are essential checks and procedures that help to: </w:t>
            </w:r>
          </w:p>
          <w:p w14:paraId="6D7696D2" w14:textId="77777777" w:rsidR="009558B4" w:rsidRDefault="006B699F">
            <w:pPr>
              <w:numPr>
                <w:ilvl w:val="0"/>
                <w:numId w:val="22"/>
              </w:numPr>
              <w:spacing w:after="127"/>
              <w:ind w:firstLine="358"/>
            </w:pPr>
            <w:r>
              <w:rPr>
                <w:rFonts w:ascii="Times New Roman" w:eastAsia="Times New Roman" w:hAnsi="Times New Roman" w:cs="Times New Roman"/>
              </w:rPr>
              <w:t xml:space="preserve">ensure compliance with legal and regulatory requirements for financial management </w:t>
            </w:r>
          </w:p>
          <w:p w14:paraId="7984E900" w14:textId="77777777" w:rsidR="009558B4" w:rsidRDefault="006B699F">
            <w:pPr>
              <w:numPr>
                <w:ilvl w:val="0"/>
                <w:numId w:val="22"/>
              </w:numPr>
              <w:spacing w:after="127"/>
              <w:ind w:firstLine="358"/>
            </w:pPr>
            <w:r>
              <w:rPr>
                <w:rFonts w:ascii="Times New Roman" w:eastAsia="Times New Roman" w:hAnsi="Times New Roman" w:cs="Times New Roman"/>
              </w:rPr>
              <w:t xml:space="preserve">reduce the risk of loss through, for example, theft, fraud or error </w:t>
            </w:r>
          </w:p>
          <w:p w14:paraId="7AEBA8CC" w14:textId="77777777" w:rsidR="009558B4" w:rsidRDefault="006B699F">
            <w:pPr>
              <w:numPr>
                <w:ilvl w:val="0"/>
                <w:numId w:val="22"/>
              </w:numPr>
              <w:spacing w:after="127"/>
              <w:ind w:firstLine="358"/>
            </w:pPr>
            <w:r>
              <w:rPr>
                <w:rFonts w:ascii="Times New Roman" w:eastAsia="Times New Roman" w:hAnsi="Times New Roman" w:cs="Times New Roman"/>
              </w:rPr>
              <w:t xml:space="preserve">identify problems early </w:t>
            </w:r>
          </w:p>
          <w:p w14:paraId="3DB7876E" w14:textId="77777777" w:rsidR="009558B4" w:rsidRDefault="006B699F">
            <w:pPr>
              <w:numPr>
                <w:ilvl w:val="0"/>
                <w:numId w:val="22"/>
              </w:numPr>
              <w:spacing w:after="113"/>
              <w:ind w:firstLine="358"/>
            </w:pPr>
            <w:r>
              <w:rPr>
                <w:rFonts w:ascii="Times New Roman" w:eastAsia="Times New Roman" w:hAnsi="Times New Roman" w:cs="Times New Roman"/>
              </w:rPr>
              <w:t xml:space="preserve">ensure financial reporting is robust and of sufficient quality </w:t>
            </w:r>
          </w:p>
          <w:p w14:paraId="44D36166" w14:textId="77777777" w:rsidR="009558B4" w:rsidRDefault="006B699F">
            <w:r>
              <w:rPr>
                <w:rFonts w:ascii="Times New Roman" w:eastAsia="Times New Roman" w:hAnsi="Times New Roman" w:cs="Times New Roman"/>
              </w:rPr>
              <w:t xml:space="preserve">The board may delegate the detailed work on implementing and monitoring financial controls but is responsible for deciding the controls needed. </w:t>
            </w:r>
          </w:p>
        </w:tc>
        <w:tc>
          <w:tcPr>
            <w:tcW w:w="5023" w:type="dxa"/>
            <w:tcBorders>
              <w:top w:val="single" w:sz="4" w:space="0" w:color="000000"/>
              <w:left w:val="single" w:sz="4" w:space="0" w:color="000000"/>
              <w:bottom w:val="single" w:sz="4" w:space="0" w:color="000000"/>
              <w:right w:val="single" w:sz="4" w:space="0" w:color="000000"/>
            </w:tcBorders>
          </w:tcPr>
          <w:p w14:paraId="7C4C691B" w14:textId="77777777" w:rsidR="009558B4" w:rsidRDefault="006B699F">
            <w:r>
              <w:rPr>
                <w:rFonts w:ascii="Times New Roman" w:eastAsia="Times New Roman" w:hAnsi="Times New Roman" w:cs="Times New Roman"/>
              </w:rPr>
              <w:t xml:space="preserve">Financial Regulations </w:t>
            </w:r>
          </w:p>
          <w:p w14:paraId="1A6935F5" w14:textId="77777777" w:rsidR="009558B4" w:rsidRDefault="006B699F">
            <w:pPr>
              <w:spacing w:after="113"/>
            </w:pPr>
            <w:r>
              <w:rPr>
                <w:rFonts w:ascii="Times New Roman" w:eastAsia="Times New Roman" w:hAnsi="Times New Roman" w:cs="Times New Roman"/>
              </w:rPr>
              <w:t xml:space="preserve">Internal audit plan and reports </w:t>
            </w:r>
          </w:p>
          <w:p w14:paraId="5147C94D" w14:textId="77777777" w:rsidR="009558B4" w:rsidRDefault="006B699F">
            <w:r>
              <w:rPr>
                <w:rFonts w:ascii="Times New Roman" w:eastAsia="Times New Roman" w:hAnsi="Times New Roman" w:cs="Times New Roman"/>
              </w:rPr>
              <w:t xml:space="preserve"> </w:t>
            </w:r>
          </w:p>
        </w:tc>
      </w:tr>
    </w:tbl>
    <w:p w14:paraId="59F19FEE" w14:textId="77777777" w:rsidR="009558B4" w:rsidRDefault="009558B4">
      <w:pPr>
        <w:spacing w:after="0"/>
        <w:ind w:left="-1440" w:right="5"/>
      </w:pPr>
    </w:p>
    <w:tbl>
      <w:tblPr>
        <w:tblStyle w:val="TableGrid"/>
        <w:tblW w:w="13949" w:type="dxa"/>
        <w:tblInd w:w="5" w:type="dxa"/>
        <w:tblCellMar>
          <w:top w:w="168" w:type="dxa"/>
          <w:left w:w="108" w:type="dxa"/>
          <w:right w:w="89" w:type="dxa"/>
        </w:tblCellMar>
        <w:tblLook w:val="04A0" w:firstRow="1" w:lastRow="0" w:firstColumn="1" w:lastColumn="0" w:noHBand="0" w:noVBand="1"/>
      </w:tblPr>
      <w:tblGrid>
        <w:gridCol w:w="8926"/>
        <w:gridCol w:w="5023"/>
      </w:tblGrid>
      <w:tr w:rsidR="009558B4" w14:paraId="6D4A44C5" w14:textId="77777777">
        <w:trPr>
          <w:trHeight w:val="5794"/>
        </w:trPr>
        <w:tc>
          <w:tcPr>
            <w:tcW w:w="8926" w:type="dxa"/>
            <w:tcBorders>
              <w:top w:val="single" w:sz="4" w:space="0" w:color="000000"/>
              <w:left w:val="single" w:sz="4" w:space="0" w:color="000000"/>
              <w:bottom w:val="single" w:sz="4" w:space="0" w:color="000000"/>
              <w:right w:val="single" w:sz="4" w:space="0" w:color="000000"/>
            </w:tcBorders>
          </w:tcPr>
          <w:p w14:paraId="25915DB5" w14:textId="77777777" w:rsidR="009558B4" w:rsidRDefault="006B699F">
            <w:pPr>
              <w:spacing w:after="113"/>
            </w:pPr>
            <w:r>
              <w:rPr>
                <w:rFonts w:ascii="Times New Roman" w:eastAsia="Times New Roman" w:hAnsi="Times New Roman" w:cs="Times New Roman"/>
              </w:rPr>
              <w:t xml:space="preserve">Audit committee </w:t>
            </w:r>
          </w:p>
          <w:p w14:paraId="54C49FFA" w14:textId="77777777" w:rsidR="009558B4" w:rsidRDefault="006B699F">
            <w:pPr>
              <w:spacing w:after="113"/>
            </w:pPr>
            <w:r>
              <w:rPr>
                <w:rFonts w:ascii="Times New Roman" w:eastAsia="Times New Roman" w:hAnsi="Times New Roman" w:cs="Times New Roman"/>
              </w:rPr>
              <w:t xml:space="preserve">The board must set up an audit committee with clear terms of reference. </w:t>
            </w:r>
          </w:p>
          <w:p w14:paraId="163A0EA4" w14:textId="77777777" w:rsidR="009558B4" w:rsidRDefault="006B699F">
            <w:pPr>
              <w:spacing w:after="120" w:line="252" w:lineRule="auto"/>
            </w:pPr>
            <w:r>
              <w:rPr>
                <w:rFonts w:ascii="Times New Roman" w:eastAsia="Times New Roman" w:hAnsi="Times New Roman" w:cs="Times New Roman"/>
              </w:rPr>
              <w:t xml:space="preserve">The committee may include people who are not part of the board, but the majority of the committee must be governors and must not include the chair of the corporation or principal. Staff governors should not be members. </w:t>
            </w:r>
          </w:p>
          <w:p w14:paraId="4C5074BB" w14:textId="77777777" w:rsidR="009558B4" w:rsidRDefault="006B699F">
            <w:pPr>
              <w:spacing w:after="137" w:line="250" w:lineRule="auto"/>
            </w:pPr>
            <w:r>
              <w:rPr>
                <w:rFonts w:ascii="Times New Roman" w:eastAsia="Times New Roman" w:hAnsi="Times New Roman" w:cs="Times New Roman"/>
              </w:rPr>
              <w:t xml:space="preserve">The role of the audit committee is not limited to financial matters. It must assess the adequacy and effectiveness of: </w:t>
            </w:r>
          </w:p>
          <w:p w14:paraId="459B0AE4" w14:textId="77777777" w:rsidR="009558B4" w:rsidRDefault="006B699F">
            <w:pPr>
              <w:numPr>
                <w:ilvl w:val="0"/>
                <w:numId w:val="23"/>
              </w:numPr>
              <w:spacing w:after="127"/>
              <w:ind w:hanging="355"/>
            </w:pPr>
            <w:r>
              <w:rPr>
                <w:rFonts w:ascii="Times New Roman" w:eastAsia="Times New Roman" w:hAnsi="Times New Roman" w:cs="Times New Roman"/>
              </w:rPr>
              <w:t xml:space="preserve">governance, risk management and control processes </w:t>
            </w:r>
          </w:p>
          <w:p w14:paraId="67FDA850" w14:textId="77777777" w:rsidR="009558B4" w:rsidRDefault="006B699F">
            <w:pPr>
              <w:numPr>
                <w:ilvl w:val="0"/>
                <w:numId w:val="23"/>
              </w:numPr>
              <w:spacing w:after="113"/>
              <w:ind w:hanging="355"/>
            </w:pPr>
            <w:r>
              <w:rPr>
                <w:rFonts w:ascii="Times New Roman" w:eastAsia="Times New Roman" w:hAnsi="Times New Roman" w:cs="Times New Roman"/>
              </w:rPr>
              <w:t xml:space="preserve">assurance arrangements </w:t>
            </w:r>
          </w:p>
          <w:p w14:paraId="092EFCF4" w14:textId="77777777" w:rsidR="009558B4" w:rsidRDefault="006B699F">
            <w:pPr>
              <w:spacing w:after="127"/>
            </w:pPr>
            <w:r>
              <w:rPr>
                <w:rFonts w:ascii="Times New Roman" w:eastAsia="Times New Roman" w:hAnsi="Times New Roman" w:cs="Times New Roman"/>
              </w:rPr>
              <w:t xml:space="preserve">The audit committee has a number of other responsibilities including: </w:t>
            </w:r>
          </w:p>
          <w:p w14:paraId="6AAAC1BA" w14:textId="77777777" w:rsidR="009558B4" w:rsidRDefault="006B699F">
            <w:pPr>
              <w:numPr>
                <w:ilvl w:val="0"/>
                <w:numId w:val="23"/>
              </w:numPr>
              <w:spacing w:after="135" w:line="252" w:lineRule="auto"/>
              <w:ind w:hanging="355"/>
            </w:pPr>
            <w:r>
              <w:rPr>
                <w:rFonts w:ascii="Times New Roman" w:eastAsia="Times New Roman" w:hAnsi="Times New Roman" w:cs="Times New Roman"/>
              </w:rPr>
              <w:t xml:space="preserve">advising the corporation on risks of insolvency, safeguarding of charitable assets, and the effective and efficient use of resources </w:t>
            </w:r>
          </w:p>
          <w:p w14:paraId="33D6F967" w14:textId="77777777" w:rsidR="009558B4" w:rsidRDefault="006B699F">
            <w:pPr>
              <w:numPr>
                <w:ilvl w:val="0"/>
                <w:numId w:val="23"/>
              </w:numPr>
              <w:spacing w:after="135" w:line="252" w:lineRule="auto"/>
              <w:ind w:hanging="355"/>
            </w:pPr>
            <w:r>
              <w:rPr>
                <w:rFonts w:ascii="Times New Roman" w:eastAsia="Times New Roman" w:hAnsi="Times New Roman" w:cs="Times New Roman"/>
              </w:rPr>
              <w:t xml:space="preserve">overseeing the corporation's policies and processes about fraud, irregularity, impropriety and whistleblowing </w:t>
            </w:r>
          </w:p>
          <w:p w14:paraId="592AAF6C" w14:textId="77777777" w:rsidR="009558B4" w:rsidRDefault="006B699F">
            <w:pPr>
              <w:numPr>
                <w:ilvl w:val="0"/>
                <w:numId w:val="23"/>
              </w:numPr>
              <w:ind w:hanging="355"/>
            </w:pPr>
            <w:r>
              <w:rPr>
                <w:rFonts w:ascii="Times New Roman" w:eastAsia="Times New Roman" w:hAnsi="Times New Roman" w:cs="Times New Roman"/>
              </w:rPr>
              <w:t xml:space="preserve">monitoring the implementation of recommendations from auditors </w:t>
            </w:r>
          </w:p>
        </w:tc>
        <w:tc>
          <w:tcPr>
            <w:tcW w:w="5023" w:type="dxa"/>
            <w:tcBorders>
              <w:top w:val="single" w:sz="4" w:space="0" w:color="000000"/>
              <w:left w:val="single" w:sz="4" w:space="0" w:color="000000"/>
              <w:bottom w:val="single" w:sz="4" w:space="0" w:color="000000"/>
              <w:right w:val="single" w:sz="4" w:space="0" w:color="000000"/>
            </w:tcBorders>
          </w:tcPr>
          <w:p w14:paraId="25ABCC88" w14:textId="77777777" w:rsidR="003825B5" w:rsidRDefault="003825B5">
            <w:pPr>
              <w:spacing w:after="113"/>
              <w:rPr>
                <w:rFonts w:ascii="Times New Roman" w:eastAsia="Times New Roman" w:hAnsi="Times New Roman" w:cs="Times New Roman"/>
              </w:rPr>
            </w:pPr>
          </w:p>
          <w:p w14:paraId="55989541" w14:textId="355C0154" w:rsidR="009558B4" w:rsidRDefault="006B699F">
            <w:pPr>
              <w:spacing w:after="113"/>
            </w:pPr>
            <w:r>
              <w:rPr>
                <w:rFonts w:ascii="Times New Roman" w:eastAsia="Times New Roman" w:hAnsi="Times New Roman" w:cs="Times New Roman"/>
              </w:rPr>
              <w:t xml:space="preserve">Corporation terms of reference </w:t>
            </w:r>
          </w:p>
          <w:p w14:paraId="59A2C257" w14:textId="77777777" w:rsidR="009558B4" w:rsidRDefault="006B699F">
            <w:pPr>
              <w:spacing w:after="113"/>
            </w:pPr>
            <w:r>
              <w:rPr>
                <w:rFonts w:ascii="Times New Roman" w:eastAsia="Times New Roman" w:hAnsi="Times New Roman" w:cs="Times New Roman"/>
              </w:rPr>
              <w:t xml:space="preserve">The Audit Committee has clear terms of reference. </w:t>
            </w:r>
          </w:p>
          <w:p w14:paraId="54067ABE" w14:textId="77777777" w:rsidR="009558B4" w:rsidRDefault="006B699F">
            <w:pPr>
              <w:spacing w:after="120" w:line="252" w:lineRule="auto"/>
            </w:pPr>
            <w:r>
              <w:rPr>
                <w:rFonts w:ascii="Times New Roman" w:eastAsia="Times New Roman" w:hAnsi="Times New Roman" w:cs="Times New Roman"/>
              </w:rPr>
              <w:t xml:space="preserve">Membership excludes the Principal, staff governors and the Chair of the Corporation. There are no coopted members. </w:t>
            </w:r>
          </w:p>
          <w:p w14:paraId="179F9D86" w14:textId="77777777" w:rsidR="009558B4" w:rsidRDefault="006B699F">
            <w:pPr>
              <w:spacing w:after="110"/>
            </w:pPr>
            <w:r>
              <w:rPr>
                <w:rFonts w:ascii="Times New Roman" w:eastAsia="Times New Roman" w:hAnsi="Times New Roman" w:cs="Times New Roman"/>
              </w:rPr>
              <w:t xml:space="preserve"> </w:t>
            </w:r>
          </w:p>
          <w:p w14:paraId="616AD0A1" w14:textId="77777777" w:rsidR="009558B4" w:rsidRDefault="006B699F">
            <w:pPr>
              <w:spacing w:after="120" w:line="252" w:lineRule="auto"/>
            </w:pPr>
            <w:r>
              <w:rPr>
                <w:rFonts w:ascii="Times New Roman" w:eastAsia="Times New Roman" w:hAnsi="Times New Roman" w:cs="Times New Roman"/>
              </w:rPr>
              <w:t xml:space="preserve">These matters are included in the Audit Committee’s annual report to the Corporation. </w:t>
            </w:r>
          </w:p>
          <w:p w14:paraId="59D29E1B" w14:textId="77777777" w:rsidR="009558B4" w:rsidRDefault="006B699F">
            <w:pPr>
              <w:spacing w:after="113"/>
            </w:pPr>
            <w:r>
              <w:rPr>
                <w:rFonts w:ascii="Times New Roman" w:eastAsia="Times New Roman" w:hAnsi="Times New Roman" w:cs="Times New Roman"/>
              </w:rPr>
              <w:t xml:space="preserve"> </w:t>
            </w:r>
          </w:p>
          <w:p w14:paraId="0008680D" w14:textId="77777777" w:rsidR="009558B4" w:rsidRDefault="006B699F">
            <w:pPr>
              <w:spacing w:after="113"/>
            </w:pPr>
            <w:r>
              <w:rPr>
                <w:rFonts w:ascii="Times New Roman" w:eastAsia="Times New Roman" w:hAnsi="Times New Roman" w:cs="Times New Roman"/>
              </w:rPr>
              <w:t xml:space="preserve"> </w:t>
            </w:r>
          </w:p>
          <w:p w14:paraId="5D8C5FF6" w14:textId="77777777" w:rsidR="009558B4" w:rsidRDefault="006B699F">
            <w:r>
              <w:rPr>
                <w:rFonts w:ascii="Times New Roman" w:eastAsia="Times New Roman" w:hAnsi="Times New Roman" w:cs="Times New Roman"/>
              </w:rPr>
              <w:t xml:space="preserve">Auditor recommendations are tracked on two schedules that are reviewed by the Committee </w:t>
            </w:r>
          </w:p>
        </w:tc>
      </w:tr>
    </w:tbl>
    <w:p w14:paraId="553D3054" w14:textId="77777777" w:rsidR="009558B4" w:rsidRDefault="009558B4">
      <w:pPr>
        <w:spacing w:after="0"/>
        <w:ind w:left="-1440" w:right="5"/>
      </w:pPr>
    </w:p>
    <w:tbl>
      <w:tblPr>
        <w:tblStyle w:val="TableGrid"/>
        <w:tblW w:w="13949" w:type="dxa"/>
        <w:tblInd w:w="5" w:type="dxa"/>
        <w:tblCellMar>
          <w:top w:w="168" w:type="dxa"/>
          <w:left w:w="108" w:type="dxa"/>
          <w:right w:w="299" w:type="dxa"/>
        </w:tblCellMar>
        <w:tblLook w:val="04A0" w:firstRow="1" w:lastRow="0" w:firstColumn="1" w:lastColumn="0" w:noHBand="0" w:noVBand="1"/>
      </w:tblPr>
      <w:tblGrid>
        <w:gridCol w:w="8926"/>
        <w:gridCol w:w="5023"/>
      </w:tblGrid>
      <w:tr w:rsidR="009558B4" w14:paraId="7BA12319" w14:textId="77777777">
        <w:trPr>
          <w:trHeight w:val="7493"/>
        </w:trPr>
        <w:tc>
          <w:tcPr>
            <w:tcW w:w="8926" w:type="dxa"/>
            <w:tcBorders>
              <w:top w:val="single" w:sz="4" w:space="0" w:color="000000"/>
              <w:left w:val="single" w:sz="4" w:space="0" w:color="000000"/>
              <w:bottom w:val="single" w:sz="4" w:space="0" w:color="000000"/>
              <w:right w:val="single" w:sz="4" w:space="0" w:color="000000"/>
            </w:tcBorders>
          </w:tcPr>
          <w:p w14:paraId="2773DC9C" w14:textId="77777777" w:rsidR="009558B4" w:rsidRDefault="006B699F">
            <w:pPr>
              <w:spacing w:after="113"/>
            </w:pPr>
            <w:r>
              <w:rPr>
                <w:rFonts w:ascii="Times New Roman" w:eastAsia="Times New Roman" w:hAnsi="Times New Roman" w:cs="Times New Roman"/>
              </w:rPr>
              <w:t xml:space="preserve">Oversight of the principal and executive staff- challenge and assurance </w:t>
            </w:r>
          </w:p>
          <w:p w14:paraId="22E31B33" w14:textId="77777777" w:rsidR="009558B4" w:rsidRDefault="006B699F">
            <w:pPr>
              <w:spacing w:after="120" w:line="252" w:lineRule="auto"/>
            </w:pPr>
            <w:r>
              <w:rPr>
                <w:rFonts w:ascii="Times New Roman" w:eastAsia="Times New Roman" w:hAnsi="Times New Roman" w:cs="Times New Roman"/>
              </w:rPr>
              <w:t xml:space="preserve">The board has overall control of the corporation. It may delegate authority to the principal and senior executive team, but not ultimate responsibility. </w:t>
            </w:r>
          </w:p>
          <w:p w14:paraId="7D9734C9" w14:textId="77777777" w:rsidR="009558B4" w:rsidRDefault="006B699F">
            <w:pPr>
              <w:spacing w:after="120" w:line="252" w:lineRule="auto"/>
            </w:pPr>
            <w:r>
              <w:rPr>
                <w:rFonts w:ascii="Times New Roman" w:eastAsia="Times New Roman" w:hAnsi="Times New Roman" w:cs="Times New Roman"/>
              </w:rPr>
              <w:t xml:space="preserve">The board must be able to ensure that delegated authority is properly exercised, through appropriate monitoring and reporting procedures. </w:t>
            </w:r>
          </w:p>
          <w:p w14:paraId="2CD10B3E" w14:textId="77777777" w:rsidR="009558B4" w:rsidRDefault="006B699F">
            <w:pPr>
              <w:spacing w:after="110"/>
            </w:pPr>
            <w:r>
              <w:rPr>
                <w:rFonts w:ascii="Times New Roman" w:eastAsia="Times New Roman" w:hAnsi="Times New Roman" w:cs="Times New Roman"/>
              </w:rPr>
              <w:t xml:space="preserve">To do this, the board should: </w:t>
            </w:r>
          </w:p>
          <w:p w14:paraId="6AA905B0" w14:textId="09F713C2" w:rsidR="009558B4" w:rsidRDefault="006B699F">
            <w:pPr>
              <w:numPr>
                <w:ilvl w:val="0"/>
                <w:numId w:val="24"/>
              </w:numPr>
              <w:spacing w:after="135" w:line="252" w:lineRule="auto"/>
              <w:ind w:hanging="355"/>
            </w:pPr>
            <w:r>
              <w:rPr>
                <w:rFonts w:ascii="Times New Roman" w:eastAsia="Times New Roman" w:hAnsi="Times New Roman" w:cs="Times New Roman"/>
              </w:rPr>
              <w:t>set out in writing the extent and limits of any delegated authority, to include reporting</w:t>
            </w:r>
            <w:r w:rsidR="001F14F7">
              <w:rPr>
                <w:rFonts w:ascii="Times New Roman" w:eastAsia="Times New Roman" w:hAnsi="Times New Roman" w:cs="Times New Roman"/>
              </w:rPr>
              <w:t xml:space="preserve"> </w:t>
            </w:r>
            <w:r>
              <w:rPr>
                <w:rFonts w:ascii="Times New Roman" w:eastAsia="Times New Roman" w:hAnsi="Times New Roman" w:cs="Times New Roman"/>
              </w:rPr>
              <w:t xml:space="preserve">back protocols </w:t>
            </w:r>
          </w:p>
          <w:p w14:paraId="714C2BAB" w14:textId="77777777" w:rsidR="009558B4" w:rsidRDefault="006B699F">
            <w:pPr>
              <w:numPr>
                <w:ilvl w:val="0"/>
                <w:numId w:val="24"/>
              </w:numPr>
              <w:spacing w:after="127"/>
              <w:ind w:hanging="355"/>
            </w:pPr>
            <w:r>
              <w:rPr>
                <w:rFonts w:ascii="Times New Roman" w:eastAsia="Times New Roman" w:hAnsi="Times New Roman" w:cs="Times New Roman"/>
              </w:rPr>
              <w:t xml:space="preserve">regularly review the terms of the delegation </w:t>
            </w:r>
          </w:p>
          <w:p w14:paraId="12342D32" w14:textId="77777777" w:rsidR="009558B4" w:rsidRDefault="006B699F">
            <w:pPr>
              <w:numPr>
                <w:ilvl w:val="0"/>
                <w:numId w:val="24"/>
              </w:numPr>
              <w:spacing w:after="127"/>
              <w:ind w:hanging="355"/>
            </w:pPr>
            <w:r>
              <w:rPr>
                <w:rFonts w:ascii="Times New Roman" w:eastAsia="Times New Roman" w:hAnsi="Times New Roman" w:cs="Times New Roman"/>
              </w:rPr>
              <w:t xml:space="preserve">have access to high quality and timely data and information </w:t>
            </w:r>
          </w:p>
          <w:p w14:paraId="76B68431" w14:textId="77777777" w:rsidR="009558B4" w:rsidRDefault="006B699F">
            <w:pPr>
              <w:numPr>
                <w:ilvl w:val="0"/>
                <w:numId w:val="24"/>
              </w:numPr>
              <w:spacing w:after="135" w:line="252" w:lineRule="auto"/>
              <w:ind w:hanging="355"/>
            </w:pPr>
            <w:r>
              <w:rPr>
                <w:rFonts w:ascii="Times New Roman" w:eastAsia="Times New Roman" w:hAnsi="Times New Roman" w:cs="Times New Roman"/>
              </w:rPr>
              <w:t xml:space="preserve">have governors with the skills to interpret the full detail of educational performance, financial and other data </w:t>
            </w:r>
          </w:p>
          <w:p w14:paraId="52FA525F" w14:textId="77777777" w:rsidR="009558B4" w:rsidRDefault="006B699F">
            <w:pPr>
              <w:numPr>
                <w:ilvl w:val="0"/>
                <w:numId w:val="24"/>
              </w:numPr>
              <w:spacing w:after="135" w:line="252" w:lineRule="auto"/>
              <w:ind w:hanging="355"/>
            </w:pPr>
            <w:r>
              <w:rPr>
                <w:rFonts w:ascii="Times New Roman" w:eastAsia="Times New Roman" w:hAnsi="Times New Roman" w:cs="Times New Roman"/>
              </w:rPr>
              <w:t xml:space="preserve">constructively challenge, and seek assurance from senior staff and use other methods where appropriate to independently verify information </w:t>
            </w:r>
          </w:p>
          <w:p w14:paraId="6836E90A" w14:textId="77777777" w:rsidR="009558B4" w:rsidRDefault="006B699F">
            <w:pPr>
              <w:numPr>
                <w:ilvl w:val="0"/>
                <w:numId w:val="24"/>
              </w:numPr>
              <w:spacing w:after="117" w:line="252" w:lineRule="auto"/>
              <w:ind w:hanging="355"/>
            </w:pPr>
            <w:r>
              <w:rPr>
                <w:rFonts w:ascii="Times New Roman" w:eastAsia="Times New Roman" w:hAnsi="Times New Roman" w:cs="Times New Roman"/>
              </w:rPr>
              <w:t xml:space="preserve">identify the questions that need to be asked of the executive to create robust accountability </w:t>
            </w:r>
          </w:p>
          <w:p w14:paraId="1D971F5E" w14:textId="77777777" w:rsidR="009558B4" w:rsidRDefault="006B699F">
            <w:pPr>
              <w:spacing w:after="127"/>
            </w:pPr>
            <w:r>
              <w:rPr>
                <w:rFonts w:ascii="Times New Roman" w:eastAsia="Times New Roman" w:hAnsi="Times New Roman" w:cs="Times New Roman"/>
              </w:rPr>
              <w:t xml:space="preserve">Governors should be prepared to test that senior staff have: </w:t>
            </w:r>
          </w:p>
          <w:p w14:paraId="499B20DB" w14:textId="77777777" w:rsidR="009558B4" w:rsidRDefault="006B699F">
            <w:pPr>
              <w:numPr>
                <w:ilvl w:val="0"/>
                <w:numId w:val="24"/>
              </w:numPr>
              <w:spacing w:after="127"/>
              <w:ind w:hanging="355"/>
            </w:pPr>
            <w:r>
              <w:rPr>
                <w:rFonts w:ascii="Times New Roman" w:eastAsia="Times New Roman" w:hAnsi="Times New Roman" w:cs="Times New Roman"/>
              </w:rPr>
              <w:t xml:space="preserve">developed the business case for any proposal </w:t>
            </w:r>
          </w:p>
          <w:p w14:paraId="5F4844E1" w14:textId="77777777" w:rsidR="009558B4" w:rsidRDefault="006B699F">
            <w:pPr>
              <w:numPr>
                <w:ilvl w:val="0"/>
                <w:numId w:val="24"/>
              </w:numPr>
              <w:spacing w:after="127"/>
              <w:ind w:hanging="355"/>
            </w:pPr>
            <w:r>
              <w:rPr>
                <w:rFonts w:ascii="Times New Roman" w:eastAsia="Times New Roman" w:hAnsi="Times New Roman" w:cs="Times New Roman"/>
              </w:rPr>
              <w:t xml:space="preserve">sufficient and robust data to support reported performance </w:t>
            </w:r>
          </w:p>
          <w:p w14:paraId="728744FA" w14:textId="77777777" w:rsidR="009558B4" w:rsidRDefault="006B699F">
            <w:pPr>
              <w:numPr>
                <w:ilvl w:val="0"/>
                <w:numId w:val="24"/>
              </w:numPr>
              <w:ind w:hanging="355"/>
            </w:pPr>
            <w:r>
              <w:rPr>
                <w:rFonts w:ascii="Times New Roman" w:eastAsia="Times New Roman" w:hAnsi="Times New Roman" w:cs="Times New Roman"/>
              </w:rPr>
              <w:t xml:space="preserve">fully considered the risks involved in any proposed action and ways of mitigating them </w:t>
            </w:r>
          </w:p>
        </w:tc>
        <w:tc>
          <w:tcPr>
            <w:tcW w:w="5023" w:type="dxa"/>
            <w:tcBorders>
              <w:top w:val="single" w:sz="4" w:space="0" w:color="000000"/>
              <w:left w:val="single" w:sz="4" w:space="0" w:color="000000"/>
              <w:bottom w:val="single" w:sz="4" w:space="0" w:color="000000"/>
              <w:right w:val="single" w:sz="4" w:space="0" w:color="000000"/>
            </w:tcBorders>
          </w:tcPr>
          <w:p w14:paraId="4A6E1179" w14:textId="1B90C575" w:rsidR="009558B4" w:rsidRDefault="006B699F">
            <w:r>
              <w:rPr>
                <w:rFonts w:ascii="Times New Roman" w:eastAsia="Times New Roman" w:hAnsi="Times New Roman" w:cs="Times New Roman"/>
              </w:rPr>
              <w:t xml:space="preserve"> </w:t>
            </w:r>
            <w:r w:rsidR="001F14F7">
              <w:rPr>
                <w:rFonts w:ascii="Times New Roman" w:eastAsia="Times New Roman" w:hAnsi="Times New Roman" w:cs="Times New Roman"/>
              </w:rPr>
              <w:t xml:space="preserve">All </w:t>
            </w:r>
            <w:r w:rsidR="00B12CBA">
              <w:rPr>
                <w:rFonts w:ascii="Times New Roman" w:eastAsia="Times New Roman" w:hAnsi="Times New Roman" w:cs="Times New Roman"/>
              </w:rPr>
              <w:t>requirements are met.</w:t>
            </w:r>
          </w:p>
        </w:tc>
      </w:tr>
    </w:tbl>
    <w:p w14:paraId="6FCC759B" w14:textId="77777777" w:rsidR="009558B4" w:rsidRDefault="009558B4">
      <w:pPr>
        <w:spacing w:after="0"/>
        <w:ind w:left="-1440" w:right="5"/>
      </w:pPr>
    </w:p>
    <w:tbl>
      <w:tblPr>
        <w:tblStyle w:val="TableGrid"/>
        <w:tblW w:w="13949" w:type="dxa"/>
        <w:tblInd w:w="5" w:type="dxa"/>
        <w:tblCellMar>
          <w:top w:w="168" w:type="dxa"/>
          <w:left w:w="108" w:type="dxa"/>
          <w:right w:w="115" w:type="dxa"/>
        </w:tblCellMar>
        <w:tblLook w:val="04A0" w:firstRow="1" w:lastRow="0" w:firstColumn="1" w:lastColumn="0" w:noHBand="0" w:noVBand="1"/>
      </w:tblPr>
      <w:tblGrid>
        <w:gridCol w:w="8926"/>
        <w:gridCol w:w="5023"/>
      </w:tblGrid>
      <w:tr w:rsidR="009558B4" w14:paraId="5F682073" w14:textId="77777777">
        <w:trPr>
          <w:trHeight w:val="3240"/>
        </w:trPr>
        <w:tc>
          <w:tcPr>
            <w:tcW w:w="8926" w:type="dxa"/>
            <w:tcBorders>
              <w:top w:val="single" w:sz="4" w:space="0" w:color="000000"/>
              <w:left w:val="single" w:sz="4" w:space="0" w:color="000000"/>
              <w:bottom w:val="single" w:sz="4" w:space="0" w:color="000000"/>
              <w:right w:val="single" w:sz="4" w:space="0" w:color="000000"/>
            </w:tcBorders>
            <w:vAlign w:val="center"/>
          </w:tcPr>
          <w:p w14:paraId="11C8C182" w14:textId="77777777" w:rsidR="009558B4" w:rsidRDefault="006B699F">
            <w:pPr>
              <w:spacing w:after="113"/>
            </w:pPr>
            <w:r>
              <w:rPr>
                <w:rFonts w:ascii="Times New Roman" w:eastAsia="Times New Roman" w:hAnsi="Times New Roman" w:cs="Times New Roman"/>
              </w:rPr>
              <w:t xml:space="preserve">Governance reviews </w:t>
            </w:r>
          </w:p>
          <w:p w14:paraId="5DB457FD" w14:textId="77777777" w:rsidR="009558B4" w:rsidRDefault="006B699F">
            <w:pPr>
              <w:spacing w:after="127"/>
            </w:pPr>
            <w:r>
              <w:rPr>
                <w:rFonts w:ascii="Times New Roman" w:eastAsia="Times New Roman" w:hAnsi="Times New Roman" w:cs="Times New Roman"/>
              </w:rPr>
              <w:t xml:space="preserve">The board should keep under review: </w:t>
            </w:r>
          </w:p>
          <w:p w14:paraId="6AA074DA" w14:textId="77777777" w:rsidR="009558B4" w:rsidRDefault="006B699F">
            <w:pPr>
              <w:numPr>
                <w:ilvl w:val="0"/>
                <w:numId w:val="25"/>
              </w:numPr>
              <w:spacing w:after="114"/>
              <w:ind w:hanging="355"/>
            </w:pPr>
            <w:r>
              <w:rPr>
                <w:rFonts w:ascii="Times New Roman" w:eastAsia="Times New Roman" w:hAnsi="Times New Roman" w:cs="Times New Roman"/>
              </w:rPr>
              <w:t xml:space="preserve">board and corporate performance, including: </w:t>
            </w:r>
          </w:p>
          <w:p w14:paraId="28AFB746" w14:textId="77777777" w:rsidR="009558B4" w:rsidRDefault="006B699F">
            <w:pPr>
              <w:numPr>
                <w:ilvl w:val="1"/>
                <w:numId w:val="25"/>
              </w:numPr>
              <w:spacing w:after="120"/>
            </w:pPr>
            <w:r>
              <w:rPr>
                <w:rFonts w:ascii="Times New Roman" w:eastAsia="Times New Roman" w:hAnsi="Times New Roman" w:cs="Times New Roman"/>
              </w:rPr>
              <w:t xml:space="preserve">regular reviews of board composition and skills mix </w:t>
            </w:r>
          </w:p>
          <w:p w14:paraId="7816B75E" w14:textId="77777777" w:rsidR="009558B4" w:rsidRDefault="006B699F">
            <w:pPr>
              <w:numPr>
                <w:ilvl w:val="1"/>
                <w:numId w:val="25"/>
              </w:numPr>
              <w:spacing w:after="125"/>
            </w:pPr>
            <w:r>
              <w:rPr>
                <w:rFonts w:ascii="Times New Roman" w:eastAsia="Times New Roman" w:hAnsi="Times New Roman" w:cs="Times New Roman"/>
              </w:rPr>
              <w:t xml:space="preserve">the instrument and articles and corporate policies to ensure they continue to support, and are adequate for, the delivery of the corporation's purpose </w:t>
            </w:r>
          </w:p>
          <w:p w14:paraId="1A85812B" w14:textId="77777777" w:rsidR="009558B4" w:rsidRDefault="006B699F">
            <w:pPr>
              <w:numPr>
                <w:ilvl w:val="0"/>
                <w:numId w:val="25"/>
              </w:numPr>
              <w:spacing w:after="128"/>
              <w:ind w:hanging="355"/>
            </w:pPr>
            <w:r>
              <w:rPr>
                <w:rFonts w:ascii="Times New Roman" w:eastAsia="Times New Roman" w:hAnsi="Times New Roman" w:cs="Times New Roman"/>
              </w:rPr>
              <w:t xml:space="preserve">outcomes and impact </w:t>
            </w:r>
          </w:p>
          <w:p w14:paraId="0EB91761" w14:textId="77777777" w:rsidR="009558B4" w:rsidRDefault="006B699F">
            <w:pPr>
              <w:numPr>
                <w:ilvl w:val="0"/>
                <w:numId w:val="25"/>
              </w:numPr>
              <w:ind w:hanging="355"/>
            </w:pPr>
            <w:r>
              <w:rPr>
                <w:rFonts w:ascii="Times New Roman" w:eastAsia="Times New Roman" w:hAnsi="Times New Roman" w:cs="Times New Roman"/>
              </w:rPr>
              <w:t xml:space="preserve">compliance with regulatory frameworks </w:t>
            </w:r>
          </w:p>
        </w:tc>
        <w:tc>
          <w:tcPr>
            <w:tcW w:w="5023" w:type="dxa"/>
            <w:tcBorders>
              <w:top w:val="single" w:sz="4" w:space="0" w:color="000000"/>
              <w:left w:val="single" w:sz="4" w:space="0" w:color="000000"/>
              <w:bottom w:val="single" w:sz="4" w:space="0" w:color="000000"/>
              <w:right w:val="single" w:sz="4" w:space="0" w:color="000000"/>
            </w:tcBorders>
          </w:tcPr>
          <w:p w14:paraId="6DC2A606" w14:textId="35DD7143" w:rsidR="009558B4" w:rsidRDefault="006B699F">
            <w:r>
              <w:rPr>
                <w:rFonts w:ascii="Times New Roman" w:eastAsia="Times New Roman" w:hAnsi="Times New Roman" w:cs="Times New Roman"/>
              </w:rPr>
              <w:t xml:space="preserve"> </w:t>
            </w:r>
            <w:r w:rsidR="00C85DB7">
              <w:rPr>
                <w:rFonts w:ascii="Times New Roman" w:eastAsia="Times New Roman" w:hAnsi="Times New Roman" w:cs="Times New Roman"/>
              </w:rPr>
              <w:t>Skills Audit and analysis completed annually.</w:t>
            </w:r>
          </w:p>
        </w:tc>
      </w:tr>
      <w:tr w:rsidR="009558B4" w14:paraId="1122FE93" w14:textId="77777777">
        <w:trPr>
          <w:trHeight w:val="5282"/>
        </w:trPr>
        <w:tc>
          <w:tcPr>
            <w:tcW w:w="8926" w:type="dxa"/>
            <w:tcBorders>
              <w:top w:val="single" w:sz="4" w:space="0" w:color="000000"/>
              <w:left w:val="single" w:sz="4" w:space="0" w:color="000000"/>
              <w:bottom w:val="single" w:sz="4" w:space="0" w:color="000000"/>
              <w:right w:val="single" w:sz="4" w:space="0" w:color="000000"/>
            </w:tcBorders>
            <w:vAlign w:val="center"/>
          </w:tcPr>
          <w:p w14:paraId="38B1C7C0" w14:textId="77777777" w:rsidR="009558B4" w:rsidRDefault="006B699F">
            <w:pPr>
              <w:spacing w:after="110"/>
            </w:pPr>
            <w:r>
              <w:rPr>
                <w:rFonts w:ascii="Times New Roman" w:eastAsia="Times New Roman" w:hAnsi="Times New Roman" w:cs="Times New Roman"/>
              </w:rPr>
              <w:t xml:space="preserve">Governance codes of practice </w:t>
            </w:r>
          </w:p>
          <w:p w14:paraId="1748E0C7" w14:textId="77777777" w:rsidR="009558B4" w:rsidRDefault="006B699F">
            <w:pPr>
              <w:spacing w:after="120" w:line="252" w:lineRule="auto"/>
            </w:pPr>
            <w:r>
              <w:rPr>
                <w:rFonts w:ascii="Times New Roman" w:eastAsia="Times New Roman" w:hAnsi="Times New Roman" w:cs="Times New Roman"/>
              </w:rPr>
              <w:t xml:space="preserve">A governance code of practice is a tool that helps the board to continuously improve and meet high standards. </w:t>
            </w:r>
          </w:p>
          <w:p w14:paraId="61E3E578" w14:textId="77777777" w:rsidR="009558B4" w:rsidRDefault="006B699F">
            <w:pPr>
              <w:spacing w:after="120" w:line="252" w:lineRule="auto"/>
            </w:pPr>
            <w:r>
              <w:rPr>
                <w:rFonts w:ascii="Times New Roman" w:eastAsia="Times New Roman" w:hAnsi="Times New Roman" w:cs="Times New Roman"/>
              </w:rPr>
              <w:t xml:space="preserve">As a condition of government funding, the corporation must confirm compliance with, or due observance of, one of three governance codes of practice: </w:t>
            </w:r>
          </w:p>
          <w:p w14:paraId="7EE708C1" w14:textId="77777777" w:rsidR="009558B4" w:rsidRDefault="006B699F">
            <w:pPr>
              <w:numPr>
                <w:ilvl w:val="0"/>
                <w:numId w:val="26"/>
              </w:numPr>
              <w:ind w:hanging="360"/>
            </w:pPr>
            <w:r>
              <w:rPr>
                <w:rFonts w:ascii="Times New Roman" w:eastAsia="Times New Roman" w:hAnsi="Times New Roman" w:cs="Times New Roman"/>
              </w:rPr>
              <w:t xml:space="preserve">Charity Governance Code </w:t>
            </w:r>
          </w:p>
          <w:p w14:paraId="0047BDFE" w14:textId="77777777" w:rsidR="009558B4" w:rsidRDefault="006B699F">
            <w:pPr>
              <w:numPr>
                <w:ilvl w:val="0"/>
                <w:numId w:val="26"/>
              </w:numPr>
              <w:ind w:hanging="360"/>
            </w:pPr>
            <w:r>
              <w:rPr>
                <w:rFonts w:ascii="Times New Roman" w:eastAsia="Times New Roman" w:hAnsi="Times New Roman" w:cs="Times New Roman"/>
              </w:rPr>
              <w:t xml:space="preserve">Code of Good Governance for English Colleges </w:t>
            </w:r>
          </w:p>
          <w:p w14:paraId="5B505FB6" w14:textId="77777777" w:rsidR="009558B4" w:rsidRDefault="006B699F">
            <w:pPr>
              <w:numPr>
                <w:ilvl w:val="0"/>
                <w:numId w:val="26"/>
              </w:numPr>
              <w:spacing w:after="113"/>
              <w:ind w:hanging="360"/>
            </w:pPr>
            <w:r>
              <w:rPr>
                <w:rFonts w:ascii="Times New Roman" w:eastAsia="Times New Roman" w:hAnsi="Times New Roman" w:cs="Times New Roman"/>
              </w:rPr>
              <w:t xml:space="preserve">UK Corporate Governance Code </w:t>
            </w:r>
          </w:p>
          <w:p w14:paraId="3574A9ED" w14:textId="77777777" w:rsidR="009558B4" w:rsidRDefault="006B699F">
            <w:pPr>
              <w:spacing w:after="118" w:line="252" w:lineRule="auto"/>
            </w:pPr>
            <w:r>
              <w:rPr>
                <w:rFonts w:ascii="Times New Roman" w:eastAsia="Times New Roman" w:hAnsi="Times New Roman" w:cs="Times New Roman"/>
              </w:rPr>
              <w:t xml:space="preserve">All codes expect a board to carry out an annual assessment of governance and board performance. This should be validated regularly by external quality assurance. </w:t>
            </w:r>
          </w:p>
          <w:p w14:paraId="57A7C509" w14:textId="77777777" w:rsidR="009558B4" w:rsidRDefault="006B699F">
            <w:pPr>
              <w:spacing w:after="113"/>
            </w:pPr>
            <w:r>
              <w:rPr>
                <w:rFonts w:ascii="Times New Roman" w:eastAsia="Times New Roman" w:hAnsi="Times New Roman" w:cs="Times New Roman"/>
              </w:rPr>
              <w:t xml:space="preserve">This should be validated regularly by external quality assurance. </w:t>
            </w:r>
          </w:p>
          <w:p w14:paraId="5A3EBF3D" w14:textId="77777777" w:rsidR="009558B4" w:rsidRDefault="006B699F">
            <w:pPr>
              <w:spacing w:after="127"/>
            </w:pPr>
            <w:r>
              <w:rPr>
                <w:rFonts w:ascii="Times New Roman" w:eastAsia="Times New Roman" w:hAnsi="Times New Roman" w:cs="Times New Roman"/>
              </w:rPr>
              <w:t xml:space="preserve">These processes will: </w:t>
            </w:r>
          </w:p>
          <w:p w14:paraId="343B6040" w14:textId="4345462E" w:rsidR="009558B4" w:rsidRDefault="006B699F">
            <w:pPr>
              <w:numPr>
                <w:ilvl w:val="0"/>
                <w:numId w:val="27"/>
              </w:numPr>
              <w:spacing w:after="127"/>
              <w:ind w:hanging="355"/>
            </w:pPr>
            <w:r>
              <w:rPr>
                <w:rFonts w:ascii="Times New Roman" w:eastAsia="Times New Roman" w:hAnsi="Times New Roman" w:cs="Times New Roman"/>
              </w:rPr>
              <w:t>Help the Board to manage risk, a</w:t>
            </w:r>
            <w:r w:rsidR="00A161F0">
              <w:rPr>
                <w:rFonts w:ascii="Times New Roman" w:eastAsia="Times New Roman" w:hAnsi="Times New Roman" w:cs="Times New Roman"/>
              </w:rPr>
              <w:t>n</w:t>
            </w:r>
            <w:r>
              <w:rPr>
                <w:rFonts w:ascii="Times New Roman" w:eastAsia="Times New Roman" w:hAnsi="Times New Roman" w:cs="Times New Roman"/>
              </w:rPr>
              <w:t xml:space="preserve">d identify weaknesses and areas for improvement </w:t>
            </w:r>
          </w:p>
          <w:p w14:paraId="64E84FF7" w14:textId="77777777" w:rsidR="009558B4" w:rsidRDefault="006B699F">
            <w:pPr>
              <w:numPr>
                <w:ilvl w:val="0"/>
                <w:numId w:val="27"/>
              </w:numPr>
              <w:ind w:hanging="355"/>
            </w:pPr>
            <w:r>
              <w:rPr>
                <w:rFonts w:ascii="Times New Roman" w:eastAsia="Times New Roman" w:hAnsi="Times New Roman" w:cs="Times New Roman"/>
              </w:rPr>
              <w:t xml:space="preserve">Provide assurance to government and funders, students, staff, employers and other stakeholders. </w:t>
            </w:r>
          </w:p>
        </w:tc>
        <w:tc>
          <w:tcPr>
            <w:tcW w:w="5023" w:type="dxa"/>
            <w:tcBorders>
              <w:top w:val="single" w:sz="4" w:space="0" w:color="000000"/>
              <w:left w:val="single" w:sz="4" w:space="0" w:color="000000"/>
              <w:bottom w:val="single" w:sz="4" w:space="0" w:color="000000"/>
              <w:right w:val="single" w:sz="4" w:space="0" w:color="000000"/>
            </w:tcBorders>
          </w:tcPr>
          <w:p w14:paraId="3F5092F8" w14:textId="632B6B51" w:rsidR="009558B4" w:rsidRDefault="006B699F">
            <w:r>
              <w:rPr>
                <w:rFonts w:ascii="Times New Roman" w:eastAsia="Times New Roman" w:hAnsi="Times New Roman" w:cs="Times New Roman"/>
              </w:rPr>
              <w:t xml:space="preserve"> </w:t>
            </w:r>
            <w:r w:rsidR="00C85DB7">
              <w:rPr>
                <w:rFonts w:ascii="Times New Roman" w:eastAsia="Times New Roman" w:hAnsi="Times New Roman" w:cs="Times New Roman"/>
              </w:rPr>
              <w:t>The Corp</w:t>
            </w:r>
            <w:r w:rsidR="0081731B">
              <w:rPr>
                <w:rFonts w:ascii="Times New Roman" w:eastAsia="Times New Roman" w:hAnsi="Times New Roman" w:cs="Times New Roman"/>
              </w:rPr>
              <w:t>o</w:t>
            </w:r>
            <w:r w:rsidR="00C85DB7">
              <w:rPr>
                <w:rFonts w:ascii="Times New Roman" w:eastAsia="Times New Roman" w:hAnsi="Times New Roman" w:cs="Times New Roman"/>
              </w:rPr>
              <w:t>ra</w:t>
            </w:r>
            <w:r w:rsidR="0081731B">
              <w:rPr>
                <w:rFonts w:ascii="Times New Roman" w:eastAsia="Times New Roman" w:hAnsi="Times New Roman" w:cs="Times New Roman"/>
              </w:rPr>
              <w:t>t</w:t>
            </w:r>
            <w:r w:rsidR="00C85DB7">
              <w:rPr>
                <w:rFonts w:ascii="Times New Roman" w:eastAsia="Times New Roman" w:hAnsi="Times New Roman" w:cs="Times New Roman"/>
              </w:rPr>
              <w:t>ion</w:t>
            </w:r>
            <w:r w:rsidR="0081731B">
              <w:rPr>
                <w:rFonts w:ascii="Times New Roman" w:eastAsia="Times New Roman" w:hAnsi="Times New Roman" w:cs="Times New Roman"/>
              </w:rPr>
              <w:t xml:space="preserve"> has adopted the Code of Governance for English Colleges. The IAS completes independent reviews.</w:t>
            </w:r>
            <w:r w:rsidR="00C85DB7">
              <w:rPr>
                <w:rFonts w:ascii="Times New Roman" w:eastAsia="Times New Roman" w:hAnsi="Times New Roman" w:cs="Times New Roman"/>
              </w:rPr>
              <w:t xml:space="preserve"> </w:t>
            </w:r>
          </w:p>
        </w:tc>
      </w:tr>
    </w:tbl>
    <w:p w14:paraId="068D1603" w14:textId="77777777" w:rsidR="009558B4" w:rsidRDefault="006B699F">
      <w:pPr>
        <w:spacing w:after="0"/>
        <w:jc w:val="both"/>
      </w:pPr>
      <w:r>
        <w:rPr>
          <w:rFonts w:ascii="Times New Roman" w:eastAsia="Times New Roman" w:hAnsi="Times New Roman" w:cs="Times New Roman"/>
        </w:rPr>
        <w:t xml:space="preserve"> </w:t>
      </w:r>
    </w:p>
    <w:sectPr w:rsidR="009558B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51"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14068" w14:textId="77777777" w:rsidR="00A526AA" w:rsidRDefault="00A526AA">
      <w:pPr>
        <w:spacing w:after="0" w:line="240" w:lineRule="auto"/>
      </w:pPr>
      <w:r>
        <w:separator/>
      </w:r>
    </w:p>
  </w:endnote>
  <w:endnote w:type="continuationSeparator" w:id="0">
    <w:p w14:paraId="0D98F513" w14:textId="77777777" w:rsidR="00A526AA" w:rsidRDefault="00A5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544B" w14:textId="77777777" w:rsidR="009558B4" w:rsidRDefault="006B699F">
    <w:pPr>
      <w:tabs>
        <w:tab w:val="center" w:pos="4635"/>
        <w:tab w:val="center" w:pos="13596"/>
      </w:tabs>
      <w:spacing w:after="0"/>
    </w:pPr>
    <w:r>
      <w:tab/>
    </w:r>
    <w:r>
      <w:rPr>
        <w:rFonts w:ascii="Times New Roman" w:eastAsia="Times New Roman" w:hAnsi="Times New Roman" w:cs="Times New Roman"/>
        <w:sz w:val="12"/>
      </w:rPr>
      <w:t>https://brookehouse-my.sharepoint.com/personal/acottrell_bsix_ac_uk/Documents/Governance/Corporation/June 2019/Working papers/Corporation compliance schedule - May 2019.docx</w:t>
    </w:r>
    <w:r>
      <w:rPr>
        <w:rFonts w:ascii="Times New Roman" w:eastAsia="Times New Roman" w:hAnsi="Times New Roman" w:cs="Times New Roman"/>
      </w:rPr>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D64F" w14:textId="0711279B" w:rsidR="009558B4" w:rsidRDefault="006B699F">
    <w:pPr>
      <w:tabs>
        <w:tab w:val="center" w:pos="4635"/>
        <w:tab w:val="center" w:pos="13596"/>
      </w:tabs>
      <w:spacing w:after="0"/>
    </w:pPr>
    <w:r>
      <w:tab/>
    </w:r>
    <w:r>
      <w:rPr>
        <w:rFonts w:ascii="Times New Roman" w:eastAsia="Times New Roman" w:hAnsi="Times New Roman" w:cs="Times New Roman"/>
        <w:sz w:val="12"/>
      </w:rPr>
      <w:t>https://brookehouse-my.sharepoint.com/personal/acottrell_bsix_ac_uk/Documents/Governance/Corporation/June 2019/Working papers/Corporation compliance schedule - May 2019.docx</w:t>
    </w:r>
    <w:r>
      <w:rPr>
        <w:rFonts w:ascii="Times New Roman" w:eastAsia="Times New Roman" w:hAnsi="Times New Roman" w:cs="Times New Roman"/>
      </w:rPr>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sidR="00A526AA" w:rsidRPr="00A526AA">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0492" w14:textId="77777777" w:rsidR="009558B4" w:rsidRDefault="006B699F">
    <w:pPr>
      <w:tabs>
        <w:tab w:val="center" w:pos="4635"/>
        <w:tab w:val="center" w:pos="13596"/>
      </w:tabs>
      <w:spacing w:after="0"/>
    </w:pPr>
    <w:r>
      <w:tab/>
    </w:r>
    <w:r>
      <w:rPr>
        <w:rFonts w:ascii="Times New Roman" w:eastAsia="Times New Roman" w:hAnsi="Times New Roman" w:cs="Times New Roman"/>
        <w:sz w:val="12"/>
      </w:rPr>
      <w:t>https://brookehouse-my.sharepoint.com/personal/acottrell_bsix_ac_uk/Documents/Governance/Corporation/June 2019/Working papers/Corporation compliance schedule - May 2019.docx</w:t>
    </w:r>
    <w:r>
      <w:rPr>
        <w:rFonts w:ascii="Times New Roman" w:eastAsia="Times New Roman" w:hAnsi="Times New Roman" w:cs="Times New Roman"/>
      </w:rPr>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E835" w14:textId="77777777" w:rsidR="00A526AA" w:rsidRDefault="00A526AA">
      <w:pPr>
        <w:spacing w:after="0" w:line="240" w:lineRule="auto"/>
      </w:pPr>
      <w:r>
        <w:separator/>
      </w:r>
    </w:p>
  </w:footnote>
  <w:footnote w:type="continuationSeparator" w:id="0">
    <w:p w14:paraId="3FF53FE1" w14:textId="77777777" w:rsidR="00A526AA" w:rsidRDefault="00A5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6" w:tblpY="1103"/>
      <w:tblOverlap w:val="never"/>
      <w:tblW w:w="13946" w:type="dxa"/>
      <w:tblInd w:w="0" w:type="dxa"/>
      <w:tblCellMar>
        <w:left w:w="107" w:type="dxa"/>
        <w:bottom w:w="4" w:type="dxa"/>
        <w:right w:w="115" w:type="dxa"/>
      </w:tblCellMar>
      <w:tblLook w:val="04A0" w:firstRow="1" w:lastRow="0" w:firstColumn="1" w:lastColumn="0" w:noHBand="0" w:noVBand="1"/>
    </w:tblPr>
    <w:tblGrid>
      <w:gridCol w:w="8924"/>
      <w:gridCol w:w="5022"/>
    </w:tblGrid>
    <w:tr w:rsidR="009558B4" w14:paraId="3FBF9023" w14:textId="77777777">
      <w:trPr>
        <w:trHeight w:val="396"/>
      </w:trPr>
      <w:tc>
        <w:tcPr>
          <w:tcW w:w="8924" w:type="dxa"/>
          <w:tcBorders>
            <w:top w:val="single" w:sz="4" w:space="0" w:color="000000"/>
            <w:left w:val="single" w:sz="4" w:space="0" w:color="000000"/>
            <w:bottom w:val="single" w:sz="4" w:space="0" w:color="000000"/>
            <w:right w:val="single" w:sz="4" w:space="0" w:color="000000"/>
          </w:tcBorders>
          <w:shd w:val="clear" w:color="auto" w:fill="0070C0"/>
          <w:vAlign w:val="bottom"/>
        </w:tcPr>
        <w:p w14:paraId="601C58C2" w14:textId="77777777" w:rsidR="009558B4" w:rsidRDefault="006B699F">
          <w:r>
            <w:rPr>
              <w:rFonts w:ascii="Times New Roman" w:eastAsia="Times New Roman" w:hAnsi="Times New Roman" w:cs="Times New Roman"/>
              <w:color w:val="FFFFFF"/>
            </w:rPr>
            <w:t xml:space="preserve">Duty or area of compliance </w:t>
          </w:r>
        </w:p>
      </w:tc>
      <w:tc>
        <w:tcPr>
          <w:tcW w:w="5022" w:type="dxa"/>
          <w:tcBorders>
            <w:top w:val="single" w:sz="4" w:space="0" w:color="000000"/>
            <w:left w:val="single" w:sz="4" w:space="0" w:color="000000"/>
            <w:bottom w:val="single" w:sz="4" w:space="0" w:color="000000"/>
            <w:right w:val="single" w:sz="4" w:space="0" w:color="000000"/>
          </w:tcBorders>
          <w:shd w:val="clear" w:color="auto" w:fill="0070C0"/>
          <w:vAlign w:val="bottom"/>
        </w:tcPr>
        <w:p w14:paraId="3A85F2C7" w14:textId="77777777" w:rsidR="009558B4" w:rsidRDefault="006B699F">
          <w:pPr>
            <w:ind w:left="1"/>
          </w:pPr>
          <w:r>
            <w:rPr>
              <w:rFonts w:ascii="Times New Roman" w:eastAsia="Times New Roman" w:hAnsi="Times New Roman" w:cs="Times New Roman"/>
              <w:color w:val="FFFFFF"/>
            </w:rPr>
            <w:t xml:space="preserve">How is this addressed by BSix? </w:t>
          </w:r>
        </w:p>
      </w:tc>
    </w:tr>
  </w:tbl>
  <w:p w14:paraId="3309725F" w14:textId="77777777" w:rsidR="009558B4" w:rsidRDefault="006B699F">
    <w:pPr>
      <w:tabs>
        <w:tab w:val="center" w:pos="2354"/>
        <w:tab w:val="center" w:pos="13441"/>
      </w:tabs>
      <w:spacing w:after="521"/>
    </w:pPr>
    <w:r>
      <w:tab/>
    </w:r>
    <w:r>
      <w:rPr>
        <w:rFonts w:ascii="Times New Roman" w:eastAsia="Times New Roman" w:hAnsi="Times New Roman" w:cs="Times New Roman"/>
      </w:rPr>
      <w:t xml:space="preserve">Statutory and contractual duties of the Corporation </w:t>
    </w:r>
    <w:r>
      <w:rPr>
        <w:rFonts w:ascii="Times New Roman" w:eastAsia="Times New Roman" w:hAnsi="Times New Roman" w:cs="Times New Roman"/>
      </w:rPr>
      <w:tab/>
      <w:t xml:space="preserve">May 2019 </w:t>
    </w:r>
  </w:p>
  <w:p w14:paraId="0C757052" w14:textId="77777777" w:rsidR="009558B4" w:rsidRDefault="006B699F">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6" w:tblpY="1103"/>
      <w:tblOverlap w:val="never"/>
      <w:tblW w:w="13946" w:type="dxa"/>
      <w:tblInd w:w="0" w:type="dxa"/>
      <w:tblCellMar>
        <w:left w:w="107" w:type="dxa"/>
        <w:bottom w:w="4" w:type="dxa"/>
        <w:right w:w="115" w:type="dxa"/>
      </w:tblCellMar>
      <w:tblLook w:val="04A0" w:firstRow="1" w:lastRow="0" w:firstColumn="1" w:lastColumn="0" w:noHBand="0" w:noVBand="1"/>
    </w:tblPr>
    <w:tblGrid>
      <w:gridCol w:w="8924"/>
      <w:gridCol w:w="5022"/>
    </w:tblGrid>
    <w:tr w:rsidR="009558B4" w14:paraId="30B24536" w14:textId="77777777">
      <w:trPr>
        <w:trHeight w:val="396"/>
      </w:trPr>
      <w:tc>
        <w:tcPr>
          <w:tcW w:w="8924" w:type="dxa"/>
          <w:tcBorders>
            <w:top w:val="single" w:sz="4" w:space="0" w:color="000000"/>
            <w:left w:val="single" w:sz="4" w:space="0" w:color="000000"/>
            <w:bottom w:val="single" w:sz="4" w:space="0" w:color="000000"/>
            <w:right w:val="single" w:sz="4" w:space="0" w:color="000000"/>
          </w:tcBorders>
          <w:shd w:val="clear" w:color="auto" w:fill="0070C0"/>
          <w:vAlign w:val="bottom"/>
        </w:tcPr>
        <w:p w14:paraId="342240F0" w14:textId="77777777" w:rsidR="009558B4" w:rsidRDefault="006B699F">
          <w:r>
            <w:rPr>
              <w:rFonts w:ascii="Times New Roman" w:eastAsia="Times New Roman" w:hAnsi="Times New Roman" w:cs="Times New Roman"/>
              <w:color w:val="FFFFFF"/>
            </w:rPr>
            <w:t xml:space="preserve">Duty or area of compliance </w:t>
          </w:r>
        </w:p>
      </w:tc>
      <w:tc>
        <w:tcPr>
          <w:tcW w:w="5022" w:type="dxa"/>
          <w:tcBorders>
            <w:top w:val="single" w:sz="4" w:space="0" w:color="000000"/>
            <w:left w:val="single" w:sz="4" w:space="0" w:color="000000"/>
            <w:bottom w:val="single" w:sz="4" w:space="0" w:color="000000"/>
            <w:right w:val="single" w:sz="4" w:space="0" w:color="000000"/>
          </w:tcBorders>
          <w:shd w:val="clear" w:color="auto" w:fill="0070C0"/>
          <w:vAlign w:val="bottom"/>
        </w:tcPr>
        <w:p w14:paraId="212201F8" w14:textId="77777777" w:rsidR="009558B4" w:rsidRDefault="006B699F">
          <w:pPr>
            <w:ind w:left="1"/>
          </w:pPr>
          <w:r>
            <w:rPr>
              <w:rFonts w:ascii="Times New Roman" w:eastAsia="Times New Roman" w:hAnsi="Times New Roman" w:cs="Times New Roman"/>
              <w:color w:val="FFFFFF"/>
            </w:rPr>
            <w:t xml:space="preserve">How is this addressed by BSix? </w:t>
          </w:r>
        </w:p>
      </w:tc>
    </w:tr>
  </w:tbl>
  <w:p w14:paraId="4215F259" w14:textId="577BDF1A" w:rsidR="009558B4" w:rsidRDefault="006B699F">
    <w:pPr>
      <w:tabs>
        <w:tab w:val="center" w:pos="2354"/>
        <w:tab w:val="center" w:pos="13441"/>
      </w:tabs>
      <w:spacing w:after="521"/>
    </w:pPr>
    <w:r>
      <w:tab/>
    </w:r>
    <w:r>
      <w:rPr>
        <w:rFonts w:ascii="Times New Roman" w:eastAsia="Times New Roman" w:hAnsi="Times New Roman" w:cs="Times New Roman"/>
      </w:rPr>
      <w:t>Statutory and contractual dut</w:t>
    </w:r>
    <w:r w:rsidR="00E57F07">
      <w:rPr>
        <w:rFonts w:ascii="Times New Roman" w:eastAsia="Times New Roman" w:hAnsi="Times New Roman" w:cs="Times New Roman"/>
      </w:rPr>
      <w:t xml:space="preserve">ies of the Corporation </w:t>
    </w:r>
    <w:r w:rsidR="00E57F07">
      <w:rPr>
        <w:rFonts w:ascii="Times New Roman" w:eastAsia="Times New Roman" w:hAnsi="Times New Roman" w:cs="Times New Roman"/>
      </w:rPr>
      <w:tab/>
    </w:r>
    <w:r>
      <w:rPr>
        <w:rFonts w:ascii="Times New Roman" w:eastAsia="Times New Roman" w:hAnsi="Times New Roman" w:cs="Times New Roman"/>
      </w:rPr>
      <w:t xml:space="preserve"> </w:t>
    </w:r>
  </w:p>
  <w:p w14:paraId="5EFF0FFB" w14:textId="77777777" w:rsidR="009558B4" w:rsidRDefault="006B699F">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6" w:tblpY="1103"/>
      <w:tblOverlap w:val="never"/>
      <w:tblW w:w="13946" w:type="dxa"/>
      <w:tblInd w:w="0" w:type="dxa"/>
      <w:tblCellMar>
        <w:left w:w="107" w:type="dxa"/>
        <w:bottom w:w="4" w:type="dxa"/>
        <w:right w:w="115" w:type="dxa"/>
      </w:tblCellMar>
      <w:tblLook w:val="04A0" w:firstRow="1" w:lastRow="0" w:firstColumn="1" w:lastColumn="0" w:noHBand="0" w:noVBand="1"/>
    </w:tblPr>
    <w:tblGrid>
      <w:gridCol w:w="8924"/>
      <w:gridCol w:w="5022"/>
    </w:tblGrid>
    <w:tr w:rsidR="009558B4" w14:paraId="2EE78880" w14:textId="77777777">
      <w:trPr>
        <w:trHeight w:val="396"/>
      </w:trPr>
      <w:tc>
        <w:tcPr>
          <w:tcW w:w="8924" w:type="dxa"/>
          <w:tcBorders>
            <w:top w:val="single" w:sz="4" w:space="0" w:color="000000"/>
            <w:left w:val="single" w:sz="4" w:space="0" w:color="000000"/>
            <w:bottom w:val="single" w:sz="4" w:space="0" w:color="000000"/>
            <w:right w:val="single" w:sz="4" w:space="0" w:color="000000"/>
          </w:tcBorders>
          <w:shd w:val="clear" w:color="auto" w:fill="0070C0"/>
          <w:vAlign w:val="bottom"/>
        </w:tcPr>
        <w:p w14:paraId="012291BE" w14:textId="77777777" w:rsidR="009558B4" w:rsidRDefault="006B699F">
          <w:r>
            <w:rPr>
              <w:rFonts w:ascii="Times New Roman" w:eastAsia="Times New Roman" w:hAnsi="Times New Roman" w:cs="Times New Roman"/>
              <w:color w:val="FFFFFF"/>
            </w:rPr>
            <w:t xml:space="preserve">Duty or area of compliance </w:t>
          </w:r>
        </w:p>
      </w:tc>
      <w:tc>
        <w:tcPr>
          <w:tcW w:w="5022" w:type="dxa"/>
          <w:tcBorders>
            <w:top w:val="single" w:sz="4" w:space="0" w:color="000000"/>
            <w:left w:val="single" w:sz="4" w:space="0" w:color="000000"/>
            <w:bottom w:val="single" w:sz="4" w:space="0" w:color="000000"/>
            <w:right w:val="single" w:sz="4" w:space="0" w:color="000000"/>
          </w:tcBorders>
          <w:shd w:val="clear" w:color="auto" w:fill="0070C0"/>
          <w:vAlign w:val="bottom"/>
        </w:tcPr>
        <w:p w14:paraId="263DE0D8" w14:textId="77777777" w:rsidR="009558B4" w:rsidRDefault="006B699F">
          <w:pPr>
            <w:ind w:left="1"/>
          </w:pPr>
          <w:r>
            <w:rPr>
              <w:rFonts w:ascii="Times New Roman" w:eastAsia="Times New Roman" w:hAnsi="Times New Roman" w:cs="Times New Roman"/>
              <w:color w:val="FFFFFF"/>
            </w:rPr>
            <w:t xml:space="preserve">How is this addressed by BSix? </w:t>
          </w:r>
        </w:p>
      </w:tc>
    </w:tr>
  </w:tbl>
  <w:p w14:paraId="036C672A" w14:textId="77777777" w:rsidR="009558B4" w:rsidRDefault="006B699F">
    <w:pPr>
      <w:tabs>
        <w:tab w:val="center" w:pos="2354"/>
        <w:tab w:val="center" w:pos="13441"/>
      </w:tabs>
      <w:spacing w:after="521"/>
    </w:pPr>
    <w:r>
      <w:tab/>
    </w:r>
    <w:r>
      <w:rPr>
        <w:rFonts w:ascii="Times New Roman" w:eastAsia="Times New Roman" w:hAnsi="Times New Roman" w:cs="Times New Roman"/>
      </w:rPr>
      <w:t xml:space="preserve">Statutory and contractual duties of the Corporation </w:t>
    </w:r>
    <w:r>
      <w:rPr>
        <w:rFonts w:ascii="Times New Roman" w:eastAsia="Times New Roman" w:hAnsi="Times New Roman" w:cs="Times New Roman"/>
      </w:rPr>
      <w:tab/>
      <w:t xml:space="preserve">May 2019 </w:t>
    </w:r>
  </w:p>
  <w:p w14:paraId="70BE6B1E" w14:textId="77777777" w:rsidR="009558B4" w:rsidRDefault="006B699F">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E21"/>
    <w:multiLevelType w:val="hybridMultilevel"/>
    <w:tmpl w:val="A492F42C"/>
    <w:lvl w:ilvl="0" w:tplc="DB9206DA">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941DAC">
      <w:start w:val="1"/>
      <w:numFmt w:val="bullet"/>
      <w:lvlText w:val="o"/>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2650DE">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EAAB12">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7C226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4C44BA">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A438EC">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846CA">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4C058">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C602B7"/>
    <w:multiLevelType w:val="hybridMultilevel"/>
    <w:tmpl w:val="B048297E"/>
    <w:lvl w:ilvl="0" w:tplc="2DEE5CA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9640D8">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10D95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6AB82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A358C">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6F988">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A61B58">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0E73B8">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B0A67A">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5B66B9"/>
    <w:multiLevelType w:val="hybridMultilevel"/>
    <w:tmpl w:val="1CB6C3B4"/>
    <w:lvl w:ilvl="0" w:tplc="6EB4495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E16D4">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9001DC">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381D52">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42F636">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26CCA4">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B25786">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F4DECA">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E1B36">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51215"/>
    <w:multiLevelType w:val="hybridMultilevel"/>
    <w:tmpl w:val="D818B002"/>
    <w:lvl w:ilvl="0" w:tplc="E9504C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286058">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F0AE3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344BA0">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F6D0D4">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98DC98">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90BED8">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64894E">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E5C92">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2C3F4B"/>
    <w:multiLevelType w:val="hybridMultilevel"/>
    <w:tmpl w:val="AF12CA90"/>
    <w:lvl w:ilvl="0" w:tplc="8220797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8EAC70">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E3B98">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F4E486">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0306E">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98508E">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AA13B2">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ECCBD0">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38987A">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739CD"/>
    <w:multiLevelType w:val="hybridMultilevel"/>
    <w:tmpl w:val="5A48EDC8"/>
    <w:lvl w:ilvl="0" w:tplc="AB00AD16">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2CE854">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562E40">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304F02">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80C38">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E2048C">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5A6342">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4C312C">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B45896">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69316D"/>
    <w:multiLevelType w:val="hybridMultilevel"/>
    <w:tmpl w:val="AEFEF1F4"/>
    <w:lvl w:ilvl="0" w:tplc="B7FE0E54">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70AC40">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22E1AC">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7CECA8">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8144A">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D022C8">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F67202">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4E811A">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409EAE">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353078"/>
    <w:multiLevelType w:val="hybridMultilevel"/>
    <w:tmpl w:val="5FD4CE70"/>
    <w:lvl w:ilvl="0" w:tplc="249CC656">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E67E26">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DC7544">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2D768">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80FD2A">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D4C36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E8F97C">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80E8BC">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ACCBB8">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8F0F88"/>
    <w:multiLevelType w:val="hybridMultilevel"/>
    <w:tmpl w:val="F14A3736"/>
    <w:lvl w:ilvl="0" w:tplc="89E6B374">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D6AC96">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402D46">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52DB28">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78026E">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924C76">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C8489C">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7EE4F6">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26F58">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6B688B"/>
    <w:multiLevelType w:val="hybridMultilevel"/>
    <w:tmpl w:val="CFE060D8"/>
    <w:lvl w:ilvl="0" w:tplc="9F26F2E2">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583978">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9CEC1E">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5CE6A8">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DAF4CE">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3E264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A8188">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086DEE">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049E06">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4163A1"/>
    <w:multiLevelType w:val="hybridMultilevel"/>
    <w:tmpl w:val="B8763B0A"/>
    <w:lvl w:ilvl="0" w:tplc="663C687A">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EC6244">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C8E0E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78ED6C">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EC59C6">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E61E24">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A280EC">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067B84">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44997C">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E14BCB"/>
    <w:multiLevelType w:val="hybridMultilevel"/>
    <w:tmpl w:val="DB143FB0"/>
    <w:lvl w:ilvl="0" w:tplc="C0F06C9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843316">
      <w:start w:val="1"/>
      <w:numFmt w:val="bullet"/>
      <w:lvlText w:val="o"/>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EBF7E">
      <w:start w:val="1"/>
      <w:numFmt w:val="bullet"/>
      <w:lvlText w:val="▪"/>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9667E6">
      <w:start w:val="1"/>
      <w:numFmt w:val="bullet"/>
      <w:lvlText w:val="•"/>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3034CE">
      <w:start w:val="1"/>
      <w:numFmt w:val="bullet"/>
      <w:lvlText w:val="o"/>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70D87A">
      <w:start w:val="1"/>
      <w:numFmt w:val="bullet"/>
      <w:lvlText w:val="▪"/>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D86834">
      <w:start w:val="1"/>
      <w:numFmt w:val="bullet"/>
      <w:lvlText w:val="•"/>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2508C">
      <w:start w:val="1"/>
      <w:numFmt w:val="bullet"/>
      <w:lvlText w:val="o"/>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0812EE">
      <w:start w:val="1"/>
      <w:numFmt w:val="bullet"/>
      <w:lvlText w:val="▪"/>
      <w:lvlJc w:val="left"/>
      <w:pPr>
        <w:ind w:left="6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7A55D6"/>
    <w:multiLevelType w:val="hybridMultilevel"/>
    <w:tmpl w:val="700C0C56"/>
    <w:lvl w:ilvl="0" w:tplc="A3CE9FC0">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A22DA">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7A792A">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F69698">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EC3EB6">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2276EE">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B0E9B6">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82D45E">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1ACE1C">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1D2FEC"/>
    <w:multiLevelType w:val="hybridMultilevel"/>
    <w:tmpl w:val="7A64BA8A"/>
    <w:lvl w:ilvl="0" w:tplc="CEE6ED1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C6FA08">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A092C8">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B43312">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012CC">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84E7F8">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D0788C">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4C2BE">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4C348A">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C62F64"/>
    <w:multiLevelType w:val="hybridMultilevel"/>
    <w:tmpl w:val="8188C6B6"/>
    <w:lvl w:ilvl="0" w:tplc="ED5A3E1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DCC82A">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6C4EF6">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78B152">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7096C0">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A7940">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ACA9D6">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20F74">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DE765C">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2B74D6"/>
    <w:multiLevelType w:val="hybridMultilevel"/>
    <w:tmpl w:val="02E8D40A"/>
    <w:lvl w:ilvl="0" w:tplc="273C6BAC">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00F32">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3067CA">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3A9E0C">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901E16">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7EEDDE">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948B96">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E45F26">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3EA72E">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A44021"/>
    <w:multiLevelType w:val="hybridMultilevel"/>
    <w:tmpl w:val="EAC064AA"/>
    <w:lvl w:ilvl="0" w:tplc="410823D4">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84225A">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1A0E9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50307C">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2A4700">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894AC">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7EB0F0">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8A354">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24C8E8">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5D877F4"/>
    <w:multiLevelType w:val="hybridMultilevel"/>
    <w:tmpl w:val="40F6AAC6"/>
    <w:lvl w:ilvl="0" w:tplc="0F6A9AE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900720">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BE69E2">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768F60">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84FF2A">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683E80">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80C4F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26EB2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B028CE">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787CA0"/>
    <w:multiLevelType w:val="hybridMultilevel"/>
    <w:tmpl w:val="D5AEFEFE"/>
    <w:lvl w:ilvl="0" w:tplc="0A12D53A">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22AC58">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8E93EA">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4AE1EA">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495E4">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12E4F0">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3C2408">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EAA884">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029DF8">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425D44"/>
    <w:multiLevelType w:val="hybridMultilevel"/>
    <w:tmpl w:val="9B64C632"/>
    <w:lvl w:ilvl="0" w:tplc="E40423E4">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2C23D4">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36AA0E">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121910">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D28E80">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1E1956">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7AD818">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BA38B6">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6C9E40">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ED2BC4"/>
    <w:multiLevelType w:val="hybridMultilevel"/>
    <w:tmpl w:val="8FE6E7DC"/>
    <w:lvl w:ilvl="0" w:tplc="7FAC4C4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06E1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B80336">
      <w:start w:val="1"/>
      <w:numFmt w:val="bullet"/>
      <w:lvlText w:val="▪"/>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2CE078">
      <w:start w:val="1"/>
      <w:numFmt w:val="bullet"/>
      <w:lvlText w:val="•"/>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CE46A2">
      <w:start w:val="1"/>
      <w:numFmt w:val="bullet"/>
      <w:lvlText w:val="o"/>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208B64">
      <w:start w:val="1"/>
      <w:numFmt w:val="bullet"/>
      <w:lvlText w:val="▪"/>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5C20BA">
      <w:start w:val="1"/>
      <w:numFmt w:val="bullet"/>
      <w:lvlText w:val="•"/>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AECAA6">
      <w:start w:val="1"/>
      <w:numFmt w:val="bullet"/>
      <w:lvlText w:val="o"/>
      <w:lvlJc w:val="left"/>
      <w:pPr>
        <w:ind w:left="5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EF2E0">
      <w:start w:val="1"/>
      <w:numFmt w:val="bullet"/>
      <w:lvlText w:val="▪"/>
      <w:lvlJc w:val="left"/>
      <w:pPr>
        <w:ind w:left="6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BB766D"/>
    <w:multiLevelType w:val="hybridMultilevel"/>
    <w:tmpl w:val="E822E21E"/>
    <w:lvl w:ilvl="0" w:tplc="5D10AA2A">
      <w:start w:val="1"/>
      <w:numFmt w:val="decimal"/>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3AFD98">
      <w:start w:val="1"/>
      <w:numFmt w:val="lowerLetter"/>
      <w:lvlText w:val="%2"/>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60928">
      <w:start w:val="1"/>
      <w:numFmt w:val="lowerRoman"/>
      <w:lvlText w:val="%3"/>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0A8C16">
      <w:start w:val="1"/>
      <w:numFmt w:val="decimal"/>
      <w:lvlText w:val="%4"/>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90DFD2">
      <w:start w:val="1"/>
      <w:numFmt w:val="lowerLetter"/>
      <w:lvlText w:val="%5"/>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C0812A">
      <w:start w:val="1"/>
      <w:numFmt w:val="lowerRoman"/>
      <w:lvlText w:val="%6"/>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E2A4C">
      <w:start w:val="1"/>
      <w:numFmt w:val="decimal"/>
      <w:lvlText w:val="%7"/>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9EAAE8">
      <w:start w:val="1"/>
      <w:numFmt w:val="lowerLetter"/>
      <w:lvlText w:val="%8"/>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2AEDB8">
      <w:start w:val="1"/>
      <w:numFmt w:val="lowerRoman"/>
      <w:lvlText w:val="%9"/>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D2031B"/>
    <w:multiLevelType w:val="hybridMultilevel"/>
    <w:tmpl w:val="A88ECFAE"/>
    <w:lvl w:ilvl="0" w:tplc="D93A0F7A">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928354">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F2F0E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A7C2A">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14D7D4">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F04632">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0C20B2">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9AAC74">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C1690">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142A1F"/>
    <w:multiLevelType w:val="hybridMultilevel"/>
    <w:tmpl w:val="33BE7594"/>
    <w:lvl w:ilvl="0" w:tplc="4182A43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964F56">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E21B2E">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4224C6">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F235E0">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087622">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6624E8">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348D96">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267402">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9B2A3F"/>
    <w:multiLevelType w:val="hybridMultilevel"/>
    <w:tmpl w:val="E604BEBA"/>
    <w:lvl w:ilvl="0" w:tplc="66F41712">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9E748C">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2CA194">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C0A560">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C869FA">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66130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003C00">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1855C8">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B63294">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254189"/>
    <w:multiLevelType w:val="hybridMultilevel"/>
    <w:tmpl w:val="D31EBC9A"/>
    <w:lvl w:ilvl="0" w:tplc="DD5E0496">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4843C">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C4A910">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C88FFE">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9E5B16">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F469C2">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6EF646">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6875C6">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9E9A66">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D5509CD"/>
    <w:multiLevelType w:val="hybridMultilevel"/>
    <w:tmpl w:val="57ACCB76"/>
    <w:lvl w:ilvl="0" w:tplc="20A235DA">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FA96A0">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5A6614">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96BDBC">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CA3A9C">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A4157E">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20BA4E">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0DA6C">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B62500">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
  </w:num>
  <w:num w:numId="3">
    <w:abstractNumId w:val="9"/>
  </w:num>
  <w:num w:numId="4">
    <w:abstractNumId w:val="18"/>
  </w:num>
  <w:num w:numId="5">
    <w:abstractNumId w:val="20"/>
  </w:num>
  <w:num w:numId="6">
    <w:abstractNumId w:val="11"/>
  </w:num>
  <w:num w:numId="7">
    <w:abstractNumId w:val="13"/>
  </w:num>
  <w:num w:numId="8">
    <w:abstractNumId w:val="1"/>
  </w:num>
  <w:num w:numId="9">
    <w:abstractNumId w:val="8"/>
  </w:num>
  <w:num w:numId="10">
    <w:abstractNumId w:val="24"/>
  </w:num>
  <w:num w:numId="11">
    <w:abstractNumId w:val="23"/>
  </w:num>
  <w:num w:numId="12">
    <w:abstractNumId w:val="3"/>
  </w:num>
  <w:num w:numId="13">
    <w:abstractNumId w:val="21"/>
  </w:num>
  <w:num w:numId="14">
    <w:abstractNumId w:val="10"/>
  </w:num>
  <w:num w:numId="15">
    <w:abstractNumId w:val="15"/>
  </w:num>
  <w:num w:numId="16">
    <w:abstractNumId w:val="4"/>
  </w:num>
  <w:num w:numId="17">
    <w:abstractNumId w:val="5"/>
  </w:num>
  <w:num w:numId="18">
    <w:abstractNumId w:val="26"/>
  </w:num>
  <w:num w:numId="19">
    <w:abstractNumId w:val="25"/>
  </w:num>
  <w:num w:numId="20">
    <w:abstractNumId w:val="17"/>
  </w:num>
  <w:num w:numId="21">
    <w:abstractNumId w:val="19"/>
  </w:num>
  <w:num w:numId="22">
    <w:abstractNumId w:val="16"/>
  </w:num>
  <w:num w:numId="23">
    <w:abstractNumId w:val="6"/>
  </w:num>
  <w:num w:numId="24">
    <w:abstractNumId w:val="7"/>
  </w:num>
  <w:num w:numId="25">
    <w:abstractNumId w:val="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B4"/>
    <w:rsid w:val="001F14F7"/>
    <w:rsid w:val="003825B5"/>
    <w:rsid w:val="004D45F0"/>
    <w:rsid w:val="006907A3"/>
    <w:rsid w:val="006B699F"/>
    <w:rsid w:val="006E3D3C"/>
    <w:rsid w:val="0081731B"/>
    <w:rsid w:val="008F3B2E"/>
    <w:rsid w:val="009558B4"/>
    <w:rsid w:val="00A161F0"/>
    <w:rsid w:val="00A526AA"/>
    <w:rsid w:val="00B12CBA"/>
    <w:rsid w:val="00BB1166"/>
    <w:rsid w:val="00C107DB"/>
    <w:rsid w:val="00C3692F"/>
    <w:rsid w:val="00C85DB7"/>
    <w:rsid w:val="00DB6057"/>
    <w:rsid w:val="00DD3F6A"/>
    <w:rsid w:val="00E5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4185"/>
  <w15:docId w15:val="{5DEDEC32-1CEB-4169-A112-FAD6ECEF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Microsoft Word - Corporation compliance schedule - May 2019</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Corporation compliance schedule - May 2019</dc:title>
  <dc:subject/>
  <dc:creator>acottrell</dc:creator>
  <cp:keywords/>
  <cp:lastModifiedBy>ralph devereux</cp:lastModifiedBy>
  <cp:revision>2</cp:revision>
  <dcterms:created xsi:type="dcterms:W3CDTF">2021-09-10T10:49:00Z</dcterms:created>
  <dcterms:modified xsi:type="dcterms:W3CDTF">2021-09-10T10:49:00Z</dcterms:modified>
</cp:coreProperties>
</file>